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B25" w:rsidRDefault="00A70B25" w:rsidP="00A70B25">
      <w:pPr>
        <w:spacing w:before="120" w:after="100" w:afterAutospacing="1"/>
      </w:pPr>
    </w:p>
    <w:tbl>
      <w:tblPr>
        <w:tblW w:w="0" w:type="auto"/>
        <w:tblLayout w:type="fixed"/>
        <w:tblCellMar>
          <w:left w:w="0" w:type="dxa"/>
          <w:right w:w="0" w:type="dxa"/>
        </w:tblCellMar>
        <w:tblLook w:val="0000" w:firstRow="0" w:lastRow="0" w:firstColumn="0" w:lastColumn="0" w:noHBand="0" w:noVBand="0"/>
      </w:tblPr>
      <w:tblGrid>
        <w:gridCol w:w="1242"/>
        <w:gridCol w:w="7918"/>
        <w:gridCol w:w="30"/>
      </w:tblGrid>
      <w:tr w:rsidR="00A70B25" w:rsidTr="00917238">
        <w:trPr>
          <w:trHeight w:val="20"/>
        </w:trPr>
        <w:tc>
          <w:tcPr>
            <w:tcW w:w="1242" w:type="dxa"/>
            <w:tcBorders>
              <w:top w:val="single" w:sz="8" w:space="0" w:color="auto"/>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A70B25" w:rsidRDefault="00A70B25" w:rsidP="00917238">
            <w:pPr>
              <w:spacing w:before="120"/>
            </w:pPr>
            <w:r>
              <w:rPr>
                <w:b/>
                <w:bCs/>
                <w:lang w:val="vi-VN" w:eastAsia="vi-VN"/>
              </w:rPr>
              <w:t>6-Thủ tục</w:t>
            </w:r>
          </w:p>
        </w:tc>
        <w:tc>
          <w:tcPr>
            <w:tcW w:w="7918" w:type="dxa"/>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tcPr>
          <w:p w:rsidR="00A70B25" w:rsidRDefault="00A70B25" w:rsidP="00917238">
            <w:pPr>
              <w:spacing w:before="120"/>
            </w:pPr>
            <w:r>
              <w:rPr>
                <w:b/>
                <w:bCs/>
                <w:lang w:val="vi-VN" w:eastAsia="vi-VN"/>
              </w:rPr>
              <w:t xml:space="preserve">Khám GĐYK đối với người hoạt động kháng chiến bị phơi nhiễm với chất độc hóa học và con đẻ của họ đã được công nhận và đang hưởng chế độ ưu đãi người có công với cách mạng trước ngày 01 tháng 9 năm 2012 </w:t>
            </w:r>
          </w:p>
        </w:tc>
        <w:tc>
          <w:tcPr>
            <w:tcW w:w="20" w:type="dxa"/>
            <w:tcBorders>
              <w:tl2br w:val="nil"/>
              <w:tr2bl w:val="nil"/>
            </w:tcBorders>
            <w:tcMar>
              <w:top w:w="0" w:type="dxa"/>
              <w:left w:w="0" w:type="dxa"/>
              <w:bottom w:w="0" w:type="dxa"/>
              <w:right w:w="0" w:type="dxa"/>
            </w:tcMar>
            <w:vAlign w:val="center"/>
          </w:tcPr>
          <w:p w:rsidR="00A70B25" w:rsidRDefault="00A70B25" w:rsidP="00917238">
            <w:r>
              <w:t> </w:t>
            </w:r>
          </w:p>
        </w:tc>
      </w:tr>
      <w:tr w:rsidR="00A70B25" w:rsidTr="00917238">
        <w:trPr>
          <w:trHeight w:val="20"/>
        </w:trPr>
        <w:tc>
          <w:tcPr>
            <w:tcW w:w="9160" w:type="dxa"/>
            <w:gridSpan w:val="2"/>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A70B25" w:rsidRDefault="00A70B25" w:rsidP="00917238">
            <w:pPr>
              <w:spacing w:before="120"/>
            </w:pPr>
            <w:r>
              <w:rPr>
                <w:b/>
                <w:bCs/>
                <w:lang w:val="vi-VN" w:eastAsia="vi-VN"/>
              </w:rPr>
              <w:t>Trình tự thực hiện</w:t>
            </w:r>
          </w:p>
        </w:tc>
        <w:tc>
          <w:tcPr>
            <w:tcW w:w="20" w:type="dxa"/>
            <w:tcBorders>
              <w:tl2br w:val="nil"/>
              <w:tr2bl w:val="nil"/>
            </w:tcBorders>
            <w:tcMar>
              <w:top w:w="0" w:type="dxa"/>
              <w:left w:w="0" w:type="dxa"/>
              <w:bottom w:w="0" w:type="dxa"/>
              <w:right w:w="0" w:type="dxa"/>
            </w:tcMar>
            <w:vAlign w:val="center"/>
          </w:tcPr>
          <w:p w:rsidR="00A70B25" w:rsidRDefault="00A70B25" w:rsidP="00917238">
            <w:r>
              <w:t> </w:t>
            </w:r>
          </w:p>
        </w:tc>
      </w:tr>
      <w:tr w:rsidR="00A70B25" w:rsidRPr="002F4A80" w:rsidTr="00917238">
        <w:trPr>
          <w:trHeight w:val="20"/>
        </w:trPr>
        <w:tc>
          <w:tcPr>
            <w:tcW w:w="1242"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A70B25" w:rsidRDefault="00A70B25" w:rsidP="00917238">
            <w:pPr>
              <w:spacing w:before="120"/>
            </w:pPr>
            <w:r>
              <w:rPr>
                <w:lang w:val="vi-VN" w:eastAsia="vi-VN"/>
              </w:rPr>
              <w:t> </w:t>
            </w:r>
          </w:p>
        </w:tc>
        <w:tc>
          <w:tcPr>
            <w:tcW w:w="7918"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A70B25" w:rsidRDefault="00A70B25" w:rsidP="00917238">
            <w:pPr>
              <w:spacing w:before="120" w:after="100" w:afterAutospacing="1"/>
            </w:pPr>
            <w:r>
              <w:rPr>
                <w:b/>
                <w:bCs/>
                <w:lang w:val="vi-VN" w:eastAsia="vi-VN"/>
              </w:rPr>
              <w:t>Bước 1.</w:t>
            </w:r>
            <w:r>
              <w:rPr>
                <w:lang w:val="vi-VN" w:eastAsia="vi-VN"/>
              </w:rPr>
              <w:t xml:space="preserve"> Cá nhân gửi các giấy tờ liên quan đến phơi nhiễm chất độc hóa học đến Sở LĐTBXH để tổng hợp hồ sơ gửi về HĐGĐYK cấp tỉnh.</w:t>
            </w:r>
          </w:p>
          <w:p w:rsidR="00A70B25" w:rsidRPr="002F4A80" w:rsidRDefault="00A70B25" w:rsidP="00917238">
            <w:pPr>
              <w:spacing w:before="120" w:after="100" w:afterAutospacing="1"/>
              <w:rPr>
                <w:lang w:val="vi-VN"/>
              </w:rPr>
            </w:pPr>
            <w:r>
              <w:rPr>
                <w:b/>
                <w:bCs/>
                <w:lang w:val="vi-VN" w:eastAsia="vi-VN"/>
              </w:rPr>
              <w:t>Bước 2.</w:t>
            </w:r>
            <w:r>
              <w:rPr>
                <w:lang w:val="vi-VN" w:eastAsia="vi-VN"/>
              </w:rPr>
              <w:t xml:space="preserve"> Hội đồng GĐYK tiếp nhận, kiểm tra hồ sơ khám GĐYK. Nếu hồ sơ khám GĐYK không đúng, không đủ theo quy định thì trong vòng 05 ngày làm việc, kể t</w:t>
            </w:r>
            <w:r w:rsidRPr="002F4A80">
              <w:rPr>
                <w:lang w:val="vi-VN"/>
              </w:rPr>
              <w:t xml:space="preserve">ừ </w:t>
            </w:r>
            <w:r>
              <w:rPr>
                <w:lang w:val="vi-VN" w:eastAsia="vi-VN"/>
              </w:rPr>
              <w:t>khi tiếp nhận hồ sơ, Hội đồng GĐYK trả lại hồ sơ khám GĐYK cho tổ chức giới thiệu là Sở LĐTBXH.</w:t>
            </w:r>
          </w:p>
          <w:p w:rsidR="00A70B25" w:rsidRPr="002F4A80" w:rsidRDefault="00A70B25" w:rsidP="00917238">
            <w:pPr>
              <w:spacing w:before="120"/>
              <w:rPr>
                <w:lang w:val="vi-VN"/>
              </w:rPr>
            </w:pPr>
            <w:r>
              <w:rPr>
                <w:b/>
                <w:bCs/>
                <w:lang w:val="vi-VN" w:eastAsia="vi-VN"/>
              </w:rPr>
              <w:t>Bước 3.</w:t>
            </w:r>
            <w:r>
              <w:rPr>
                <w:lang w:val="vi-VN" w:eastAsia="vi-VN"/>
              </w:rPr>
              <w:t xml:space="preserve"> Hội đồng GĐYK phải thực hiện khám giám định cho đối tượng trong thời gian không quá </w:t>
            </w:r>
            <w:r w:rsidRPr="002F4A80">
              <w:rPr>
                <w:lang w:val="vi-VN" w:eastAsia="vi-VN"/>
              </w:rPr>
              <w:t>30</w:t>
            </w:r>
            <w:r>
              <w:rPr>
                <w:lang w:val="vi-VN" w:eastAsia="vi-VN"/>
              </w:rPr>
              <w:t xml:space="preserve"> ngày, kể từ ngày nhận đủ hồ sơ khám GĐYK hợp lệ; Khi thực hiện khám, người lập hồ sơ khám GĐYK và giám định viên phải kiểm tra, đối chiếu với giấy chứng minh nhân dân hoặc hộ chiếu hoặc bản sao có chứng thực giấy khai sinh với đối tượng đến khám GĐYK.</w:t>
            </w:r>
          </w:p>
        </w:tc>
        <w:tc>
          <w:tcPr>
            <w:tcW w:w="20" w:type="dxa"/>
            <w:tcBorders>
              <w:tl2br w:val="nil"/>
              <w:tr2bl w:val="nil"/>
            </w:tcBorders>
            <w:tcMar>
              <w:top w:w="0" w:type="dxa"/>
              <w:left w:w="0" w:type="dxa"/>
              <w:bottom w:w="0" w:type="dxa"/>
              <w:right w:w="0" w:type="dxa"/>
            </w:tcMar>
            <w:vAlign w:val="center"/>
          </w:tcPr>
          <w:p w:rsidR="00A70B25" w:rsidRPr="002F4A80" w:rsidRDefault="00A70B25" w:rsidP="00917238">
            <w:pPr>
              <w:rPr>
                <w:lang w:val="vi-VN"/>
              </w:rPr>
            </w:pPr>
            <w:r w:rsidRPr="002F4A80">
              <w:rPr>
                <w:lang w:val="vi-VN"/>
              </w:rPr>
              <w:t> </w:t>
            </w:r>
          </w:p>
        </w:tc>
      </w:tr>
      <w:tr w:rsidR="00A70B25" w:rsidTr="00917238">
        <w:trPr>
          <w:trHeight w:val="20"/>
        </w:trPr>
        <w:tc>
          <w:tcPr>
            <w:tcW w:w="9160" w:type="dxa"/>
            <w:gridSpan w:val="2"/>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A70B25" w:rsidRDefault="00A70B25" w:rsidP="00917238">
            <w:pPr>
              <w:spacing w:before="120"/>
            </w:pPr>
            <w:r>
              <w:rPr>
                <w:b/>
                <w:bCs/>
                <w:lang w:val="vi-VN" w:eastAsia="vi-VN"/>
              </w:rPr>
              <w:t>Cách thức thực hiện</w:t>
            </w:r>
          </w:p>
        </w:tc>
        <w:tc>
          <w:tcPr>
            <w:tcW w:w="20" w:type="dxa"/>
            <w:tcBorders>
              <w:tl2br w:val="nil"/>
              <w:tr2bl w:val="nil"/>
            </w:tcBorders>
            <w:tcMar>
              <w:top w:w="0" w:type="dxa"/>
              <w:left w:w="0" w:type="dxa"/>
              <w:bottom w:w="0" w:type="dxa"/>
              <w:right w:w="0" w:type="dxa"/>
            </w:tcMar>
            <w:vAlign w:val="center"/>
          </w:tcPr>
          <w:p w:rsidR="00A70B25" w:rsidRDefault="00A70B25" w:rsidP="00917238">
            <w:r>
              <w:t> </w:t>
            </w:r>
          </w:p>
        </w:tc>
      </w:tr>
      <w:tr w:rsidR="00A70B25" w:rsidTr="00917238">
        <w:trPr>
          <w:trHeight w:val="20"/>
        </w:trPr>
        <w:tc>
          <w:tcPr>
            <w:tcW w:w="1242"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A70B25" w:rsidRDefault="00A70B25" w:rsidP="00917238">
            <w:pPr>
              <w:spacing w:before="120"/>
            </w:pPr>
            <w:r>
              <w:rPr>
                <w:lang w:val="vi-VN" w:eastAsia="vi-VN"/>
              </w:rPr>
              <w:t> </w:t>
            </w:r>
          </w:p>
        </w:tc>
        <w:tc>
          <w:tcPr>
            <w:tcW w:w="7918"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A70B25" w:rsidRDefault="00A70B25" w:rsidP="00917238">
            <w:pPr>
              <w:spacing w:before="120"/>
            </w:pPr>
            <w:r>
              <w:rPr>
                <w:lang w:val="vi-VN" w:eastAsia="vi-VN"/>
              </w:rPr>
              <w:t>Gửi qua đường bưu điện hoặc nộp trực tiếp tại Hội đồng GĐYK cấp tỉnh</w:t>
            </w:r>
          </w:p>
        </w:tc>
        <w:tc>
          <w:tcPr>
            <w:tcW w:w="20" w:type="dxa"/>
            <w:tcBorders>
              <w:tl2br w:val="nil"/>
              <w:tr2bl w:val="nil"/>
            </w:tcBorders>
            <w:tcMar>
              <w:top w:w="0" w:type="dxa"/>
              <w:left w:w="0" w:type="dxa"/>
              <w:bottom w:w="0" w:type="dxa"/>
              <w:right w:w="0" w:type="dxa"/>
            </w:tcMar>
            <w:vAlign w:val="center"/>
          </w:tcPr>
          <w:p w:rsidR="00A70B25" w:rsidRDefault="00A70B25" w:rsidP="00917238">
            <w:r>
              <w:t> </w:t>
            </w:r>
          </w:p>
        </w:tc>
      </w:tr>
      <w:tr w:rsidR="00A70B25" w:rsidTr="00917238">
        <w:trPr>
          <w:trHeight w:val="20"/>
        </w:trPr>
        <w:tc>
          <w:tcPr>
            <w:tcW w:w="9160" w:type="dxa"/>
            <w:gridSpan w:val="2"/>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A70B25" w:rsidRDefault="00A70B25" w:rsidP="00917238">
            <w:pPr>
              <w:spacing w:before="120"/>
            </w:pPr>
            <w:r>
              <w:rPr>
                <w:b/>
                <w:bCs/>
                <w:lang w:val="vi-VN" w:eastAsia="vi-VN"/>
              </w:rPr>
              <w:t>Thành phần, số lượng hồ sơ</w:t>
            </w:r>
          </w:p>
        </w:tc>
        <w:tc>
          <w:tcPr>
            <w:tcW w:w="20" w:type="dxa"/>
            <w:tcBorders>
              <w:tl2br w:val="nil"/>
              <w:tr2bl w:val="nil"/>
            </w:tcBorders>
            <w:tcMar>
              <w:top w:w="0" w:type="dxa"/>
              <w:left w:w="0" w:type="dxa"/>
              <w:bottom w:w="0" w:type="dxa"/>
              <w:right w:w="0" w:type="dxa"/>
            </w:tcMar>
            <w:vAlign w:val="center"/>
          </w:tcPr>
          <w:p w:rsidR="00A70B25" w:rsidRDefault="00A70B25" w:rsidP="00917238">
            <w:r>
              <w:t> </w:t>
            </w:r>
          </w:p>
        </w:tc>
      </w:tr>
      <w:tr w:rsidR="00A70B25" w:rsidTr="00917238">
        <w:trPr>
          <w:trHeight w:val="20"/>
        </w:trPr>
        <w:tc>
          <w:tcPr>
            <w:tcW w:w="1242"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A70B25" w:rsidRDefault="00A70B25" w:rsidP="00917238">
            <w:pPr>
              <w:spacing w:before="120"/>
            </w:pPr>
            <w:r>
              <w:rPr>
                <w:lang w:val="vi-VN" w:eastAsia="vi-VN"/>
              </w:rPr>
              <w:t> </w:t>
            </w:r>
          </w:p>
        </w:tc>
        <w:tc>
          <w:tcPr>
            <w:tcW w:w="7918"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A70B25" w:rsidRDefault="00A70B25" w:rsidP="00917238">
            <w:pPr>
              <w:spacing w:before="120" w:after="100" w:afterAutospacing="1"/>
            </w:pPr>
            <w:r>
              <w:rPr>
                <w:b/>
                <w:bCs/>
                <w:i/>
                <w:iCs/>
              </w:rPr>
              <w:t>I</w:t>
            </w:r>
            <w:r>
              <w:rPr>
                <w:b/>
                <w:bCs/>
                <w:i/>
                <w:iCs/>
                <w:lang w:val="vi-VN" w:eastAsia="vi-VN"/>
              </w:rPr>
              <w:t>. Hồ sơ bao gồm:</w:t>
            </w:r>
          </w:p>
          <w:p w:rsidR="00A70B25" w:rsidRDefault="00A70B25" w:rsidP="00917238">
            <w:pPr>
              <w:spacing w:before="120" w:after="100" w:afterAutospacing="1"/>
            </w:pPr>
            <w:r>
              <w:t xml:space="preserve">a) </w:t>
            </w:r>
            <w:r>
              <w:rPr>
                <w:lang w:val="vi-VN" w:eastAsia="vi-VN"/>
              </w:rPr>
              <w:t>Giấy giới thiệu của Sở LĐTBXH (M</w:t>
            </w:r>
            <w:r>
              <w:t>ẫ</w:t>
            </w:r>
            <w:r>
              <w:rPr>
                <w:lang w:val="vi-VN" w:eastAsia="vi-VN"/>
              </w:rPr>
              <w:t>u 1) ban hành kèm theo Thông tư 41/2013/TTLT-BYT-BLĐTBXH do Giám đốc hoặc Phó giám đốc Sở LĐTBXH ký tên và đóng dấu;</w:t>
            </w:r>
          </w:p>
          <w:p w:rsidR="00A70B25" w:rsidRPr="002F4A80" w:rsidRDefault="00A70B25" w:rsidP="00917238">
            <w:pPr>
              <w:spacing w:before="120" w:after="100" w:afterAutospacing="1"/>
              <w:rPr>
                <w:lang w:val="vi-VN"/>
              </w:rPr>
            </w:pPr>
            <w:r>
              <w:t xml:space="preserve">b) </w:t>
            </w:r>
            <w:r>
              <w:rPr>
                <w:lang w:val="vi-VN" w:eastAsia="vi-VN"/>
              </w:rPr>
              <w:t>Bản sao Biên bản khám GĐYK của Hội đồng GĐYK đã khám xác định có mắc, bệnh, tật có liên quan đến phơi nhiễm với chất độc hóa học. Trường hợp không có bản sao Biên bản khám GĐYK thì phải có Giấy xác nhận của Trung tâm y tế cấp huyện (bệnh viện huyện) hoặc bản sao Giấy xác nhận của Trạm y tế cấp xã trong hồ sơ lưu tại Sở LĐTBXH được xác lập theo quy định của các v</w:t>
            </w:r>
            <w:r w:rsidRPr="002F4A80">
              <w:rPr>
                <w:lang w:val="vi-VN"/>
              </w:rPr>
              <w:t>ă</w:t>
            </w:r>
            <w:r>
              <w:rPr>
                <w:lang w:val="vi-VN" w:eastAsia="vi-VN"/>
              </w:rPr>
              <w:t xml:space="preserve">n bản quy phạm pháp luật tại thời điểm xác lập hồ sơ. Các bản sao này do </w:t>
            </w:r>
            <w:r>
              <w:rPr>
                <w:lang w:val="vi-VN" w:eastAsia="vi-VN"/>
              </w:rPr>
              <w:lastRenderedPageBreak/>
              <w:t>lãnh đạo Sở LĐTBXH ký xác nhận và đóng dấu.</w:t>
            </w:r>
          </w:p>
          <w:p w:rsidR="00A70B25" w:rsidRDefault="00A70B25" w:rsidP="00917238">
            <w:pPr>
              <w:spacing w:before="120"/>
            </w:pPr>
            <w:r>
              <w:rPr>
                <w:b/>
                <w:bCs/>
                <w:i/>
                <w:iCs/>
                <w:lang w:val="vi-VN" w:eastAsia="vi-VN"/>
              </w:rPr>
              <w:t>II. S</w:t>
            </w:r>
            <w:r>
              <w:rPr>
                <w:b/>
                <w:bCs/>
                <w:i/>
                <w:iCs/>
              </w:rPr>
              <w:t xml:space="preserve">ố </w:t>
            </w:r>
            <w:r>
              <w:rPr>
                <w:b/>
                <w:bCs/>
                <w:i/>
                <w:iCs/>
                <w:lang w:val="vi-VN" w:eastAsia="vi-VN"/>
              </w:rPr>
              <w:t>lượng:</w:t>
            </w:r>
            <w:r>
              <w:rPr>
                <w:lang w:val="vi-VN" w:eastAsia="vi-VN"/>
              </w:rPr>
              <w:t xml:space="preserve"> 01 bộ</w:t>
            </w:r>
          </w:p>
        </w:tc>
        <w:tc>
          <w:tcPr>
            <w:tcW w:w="20" w:type="dxa"/>
            <w:tcBorders>
              <w:tl2br w:val="nil"/>
              <w:tr2bl w:val="nil"/>
            </w:tcBorders>
            <w:tcMar>
              <w:top w:w="0" w:type="dxa"/>
              <w:left w:w="0" w:type="dxa"/>
              <w:bottom w:w="0" w:type="dxa"/>
              <w:right w:w="0" w:type="dxa"/>
            </w:tcMar>
            <w:vAlign w:val="center"/>
          </w:tcPr>
          <w:p w:rsidR="00A70B25" w:rsidRDefault="00A70B25" w:rsidP="00917238">
            <w:r>
              <w:lastRenderedPageBreak/>
              <w:t> </w:t>
            </w:r>
          </w:p>
        </w:tc>
      </w:tr>
      <w:tr w:rsidR="00A70B25" w:rsidTr="00917238">
        <w:trPr>
          <w:trHeight w:val="20"/>
        </w:trPr>
        <w:tc>
          <w:tcPr>
            <w:tcW w:w="9160" w:type="dxa"/>
            <w:gridSpan w:val="2"/>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A70B25" w:rsidRDefault="00A70B25" w:rsidP="00917238">
            <w:pPr>
              <w:spacing w:before="120"/>
            </w:pPr>
            <w:r>
              <w:rPr>
                <w:b/>
                <w:bCs/>
                <w:lang w:val="vi-VN" w:eastAsia="vi-VN"/>
              </w:rPr>
              <w:lastRenderedPageBreak/>
              <w:t>Thời hạn giải quyết</w:t>
            </w:r>
          </w:p>
        </w:tc>
        <w:tc>
          <w:tcPr>
            <w:tcW w:w="20" w:type="dxa"/>
            <w:tcBorders>
              <w:tl2br w:val="nil"/>
              <w:tr2bl w:val="nil"/>
            </w:tcBorders>
            <w:tcMar>
              <w:top w:w="0" w:type="dxa"/>
              <w:left w:w="0" w:type="dxa"/>
              <w:bottom w:w="0" w:type="dxa"/>
              <w:right w:w="0" w:type="dxa"/>
            </w:tcMar>
            <w:vAlign w:val="center"/>
          </w:tcPr>
          <w:p w:rsidR="00A70B25" w:rsidRDefault="00A70B25" w:rsidP="00917238">
            <w:r>
              <w:t> </w:t>
            </w:r>
          </w:p>
        </w:tc>
      </w:tr>
      <w:tr w:rsidR="00A70B25" w:rsidTr="00917238">
        <w:trPr>
          <w:trHeight w:val="20"/>
        </w:trPr>
        <w:tc>
          <w:tcPr>
            <w:tcW w:w="1242"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A70B25" w:rsidRDefault="00A70B25" w:rsidP="00917238">
            <w:pPr>
              <w:spacing w:before="120"/>
            </w:pPr>
            <w:r>
              <w:rPr>
                <w:lang w:val="vi-VN" w:eastAsia="vi-VN"/>
              </w:rPr>
              <w:t> </w:t>
            </w:r>
          </w:p>
        </w:tc>
        <w:tc>
          <w:tcPr>
            <w:tcW w:w="7918"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A70B25" w:rsidRDefault="00A70B25" w:rsidP="00917238">
            <w:pPr>
              <w:spacing w:before="120"/>
            </w:pPr>
            <w:r>
              <w:rPr>
                <w:lang w:eastAsia="vi-VN"/>
              </w:rPr>
              <w:t>30</w:t>
            </w:r>
            <w:r>
              <w:rPr>
                <w:lang w:val="vi-VN" w:eastAsia="vi-VN"/>
              </w:rPr>
              <w:t xml:space="preserve"> ngày kể từ ngày nhận được hồ sơ hợp lệ</w:t>
            </w:r>
          </w:p>
        </w:tc>
        <w:tc>
          <w:tcPr>
            <w:tcW w:w="20" w:type="dxa"/>
            <w:tcBorders>
              <w:tl2br w:val="nil"/>
              <w:tr2bl w:val="nil"/>
            </w:tcBorders>
            <w:tcMar>
              <w:top w:w="0" w:type="dxa"/>
              <w:left w:w="0" w:type="dxa"/>
              <w:bottom w:w="0" w:type="dxa"/>
              <w:right w:w="0" w:type="dxa"/>
            </w:tcMar>
            <w:vAlign w:val="center"/>
          </w:tcPr>
          <w:p w:rsidR="00A70B25" w:rsidRDefault="00A70B25" w:rsidP="00917238">
            <w:r>
              <w:t> </w:t>
            </w:r>
          </w:p>
        </w:tc>
      </w:tr>
      <w:tr w:rsidR="00A70B25" w:rsidTr="00917238">
        <w:trPr>
          <w:trHeight w:val="20"/>
        </w:trPr>
        <w:tc>
          <w:tcPr>
            <w:tcW w:w="9160" w:type="dxa"/>
            <w:gridSpan w:val="2"/>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A70B25" w:rsidRDefault="00A70B25" w:rsidP="00917238">
            <w:pPr>
              <w:spacing w:before="120"/>
            </w:pPr>
            <w:r>
              <w:rPr>
                <w:b/>
                <w:bCs/>
                <w:lang w:val="vi-VN" w:eastAsia="vi-VN"/>
              </w:rPr>
              <w:t>Đối tượng thực hiện thủ tục hành chính</w:t>
            </w:r>
          </w:p>
        </w:tc>
        <w:tc>
          <w:tcPr>
            <w:tcW w:w="20" w:type="dxa"/>
            <w:tcBorders>
              <w:tl2br w:val="nil"/>
              <w:tr2bl w:val="nil"/>
            </w:tcBorders>
            <w:tcMar>
              <w:top w:w="0" w:type="dxa"/>
              <w:left w:w="0" w:type="dxa"/>
              <w:bottom w:w="0" w:type="dxa"/>
              <w:right w:w="0" w:type="dxa"/>
            </w:tcMar>
            <w:vAlign w:val="center"/>
          </w:tcPr>
          <w:p w:rsidR="00A70B25" w:rsidRDefault="00A70B25" w:rsidP="00917238">
            <w:r>
              <w:t> </w:t>
            </w:r>
          </w:p>
        </w:tc>
      </w:tr>
      <w:tr w:rsidR="00A70B25" w:rsidTr="00917238">
        <w:trPr>
          <w:trHeight w:val="20"/>
        </w:trPr>
        <w:tc>
          <w:tcPr>
            <w:tcW w:w="1242"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A70B25" w:rsidRDefault="00A70B25" w:rsidP="00917238">
            <w:pPr>
              <w:spacing w:before="120"/>
            </w:pPr>
            <w:r>
              <w:rPr>
                <w:lang w:val="vi-VN" w:eastAsia="vi-VN"/>
              </w:rPr>
              <w:t> </w:t>
            </w:r>
          </w:p>
        </w:tc>
        <w:tc>
          <w:tcPr>
            <w:tcW w:w="7918"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A70B25" w:rsidRDefault="00A70B25" w:rsidP="00917238">
            <w:pPr>
              <w:spacing w:before="120"/>
            </w:pPr>
            <w:r>
              <w:rPr>
                <w:lang w:val="vi-VN" w:eastAsia="vi-VN"/>
              </w:rPr>
              <w:t>Cá nhân</w:t>
            </w:r>
          </w:p>
        </w:tc>
        <w:tc>
          <w:tcPr>
            <w:tcW w:w="20" w:type="dxa"/>
            <w:tcBorders>
              <w:tl2br w:val="nil"/>
              <w:tr2bl w:val="nil"/>
            </w:tcBorders>
            <w:tcMar>
              <w:top w:w="0" w:type="dxa"/>
              <w:left w:w="0" w:type="dxa"/>
              <w:bottom w:w="0" w:type="dxa"/>
              <w:right w:w="0" w:type="dxa"/>
            </w:tcMar>
            <w:vAlign w:val="center"/>
          </w:tcPr>
          <w:p w:rsidR="00A70B25" w:rsidRDefault="00A70B25" w:rsidP="00917238">
            <w:r>
              <w:t> </w:t>
            </w:r>
          </w:p>
        </w:tc>
      </w:tr>
      <w:tr w:rsidR="00A70B25" w:rsidTr="00917238">
        <w:trPr>
          <w:trHeight w:val="20"/>
        </w:trPr>
        <w:tc>
          <w:tcPr>
            <w:tcW w:w="9160" w:type="dxa"/>
            <w:gridSpan w:val="2"/>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A70B25" w:rsidRDefault="00A70B25" w:rsidP="00917238">
            <w:pPr>
              <w:spacing w:before="120"/>
            </w:pPr>
            <w:r>
              <w:rPr>
                <w:b/>
                <w:bCs/>
                <w:lang w:val="vi-VN" w:eastAsia="vi-VN"/>
              </w:rPr>
              <w:t>Cơ quan thực hiện thủ tục hành chính</w:t>
            </w:r>
          </w:p>
        </w:tc>
        <w:tc>
          <w:tcPr>
            <w:tcW w:w="20" w:type="dxa"/>
            <w:tcBorders>
              <w:tl2br w:val="nil"/>
              <w:tr2bl w:val="nil"/>
            </w:tcBorders>
            <w:tcMar>
              <w:top w:w="0" w:type="dxa"/>
              <w:left w:w="0" w:type="dxa"/>
              <w:bottom w:w="0" w:type="dxa"/>
              <w:right w:w="0" w:type="dxa"/>
            </w:tcMar>
            <w:vAlign w:val="center"/>
          </w:tcPr>
          <w:p w:rsidR="00A70B25" w:rsidRDefault="00A70B25" w:rsidP="00917238">
            <w:r>
              <w:t> </w:t>
            </w:r>
          </w:p>
        </w:tc>
      </w:tr>
      <w:tr w:rsidR="00A70B25" w:rsidTr="00917238">
        <w:trPr>
          <w:trHeight w:val="20"/>
        </w:trPr>
        <w:tc>
          <w:tcPr>
            <w:tcW w:w="1242"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A70B25" w:rsidRDefault="00A70B25" w:rsidP="00917238">
            <w:pPr>
              <w:spacing w:before="120"/>
            </w:pPr>
            <w:r>
              <w:rPr>
                <w:lang w:val="vi-VN" w:eastAsia="vi-VN"/>
              </w:rPr>
              <w:t> </w:t>
            </w:r>
          </w:p>
        </w:tc>
        <w:tc>
          <w:tcPr>
            <w:tcW w:w="7918"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A70B25" w:rsidRDefault="00A70B25" w:rsidP="00917238">
            <w:pPr>
              <w:spacing w:before="120"/>
            </w:pPr>
            <w:r>
              <w:rPr>
                <w:lang w:val="vi-VN" w:eastAsia="vi-VN"/>
              </w:rPr>
              <w:t>Hội đồng GĐYK cấp tỉnh</w:t>
            </w:r>
          </w:p>
        </w:tc>
        <w:tc>
          <w:tcPr>
            <w:tcW w:w="20" w:type="dxa"/>
            <w:tcBorders>
              <w:tl2br w:val="nil"/>
              <w:tr2bl w:val="nil"/>
            </w:tcBorders>
            <w:tcMar>
              <w:top w:w="0" w:type="dxa"/>
              <w:left w:w="0" w:type="dxa"/>
              <w:bottom w:w="0" w:type="dxa"/>
              <w:right w:w="0" w:type="dxa"/>
            </w:tcMar>
            <w:vAlign w:val="center"/>
          </w:tcPr>
          <w:p w:rsidR="00A70B25" w:rsidRDefault="00A70B25" w:rsidP="00917238">
            <w:r>
              <w:t> </w:t>
            </w:r>
          </w:p>
        </w:tc>
      </w:tr>
      <w:tr w:rsidR="00A70B25" w:rsidTr="00917238">
        <w:trPr>
          <w:trHeight w:val="20"/>
        </w:trPr>
        <w:tc>
          <w:tcPr>
            <w:tcW w:w="9160" w:type="dxa"/>
            <w:gridSpan w:val="2"/>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A70B25" w:rsidRDefault="00A70B25" w:rsidP="00917238">
            <w:pPr>
              <w:spacing w:before="120"/>
            </w:pPr>
            <w:r>
              <w:rPr>
                <w:b/>
                <w:bCs/>
                <w:lang w:val="vi-VN" w:eastAsia="vi-VN"/>
              </w:rPr>
              <w:t>Kết quả thực hiện thủ tục hành chính</w:t>
            </w:r>
          </w:p>
        </w:tc>
        <w:tc>
          <w:tcPr>
            <w:tcW w:w="20" w:type="dxa"/>
            <w:tcBorders>
              <w:tl2br w:val="nil"/>
              <w:tr2bl w:val="nil"/>
            </w:tcBorders>
            <w:tcMar>
              <w:top w:w="0" w:type="dxa"/>
              <w:left w:w="0" w:type="dxa"/>
              <w:bottom w:w="0" w:type="dxa"/>
              <w:right w:w="0" w:type="dxa"/>
            </w:tcMar>
            <w:vAlign w:val="center"/>
          </w:tcPr>
          <w:p w:rsidR="00A70B25" w:rsidRDefault="00A70B25" w:rsidP="00917238">
            <w:r>
              <w:t> </w:t>
            </w:r>
          </w:p>
        </w:tc>
      </w:tr>
      <w:tr w:rsidR="00A70B25" w:rsidTr="00917238">
        <w:trPr>
          <w:trHeight w:val="20"/>
        </w:trPr>
        <w:tc>
          <w:tcPr>
            <w:tcW w:w="1242"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A70B25" w:rsidRDefault="00A70B25" w:rsidP="00917238">
            <w:pPr>
              <w:spacing w:before="120"/>
            </w:pPr>
            <w:r>
              <w:rPr>
                <w:lang w:val="vi-VN" w:eastAsia="vi-VN"/>
              </w:rPr>
              <w:t> </w:t>
            </w:r>
          </w:p>
        </w:tc>
        <w:tc>
          <w:tcPr>
            <w:tcW w:w="7918"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A70B25" w:rsidRDefault="00A70B25" w:rsidP="00917238">
            <w:pPr>
              <w:spacing w:before="120"/>
            </w:pPr>
            <w:r>
              <w:rPr>
                <w:lang w:val="vi-VN" w:eastAsia="vi-VN"/>
              </w:rPr>
              <w:t>Biên bản khám GĐYK</w:t>
            </w:r>
          </w:p>
        </w:tc>
        <w:tc>
          <w:tcPr>
            <w:tcW w:w="20" w:type="dxa"/>
            <w:tcBorders>
              <w:top w:val="nil"/>
              <w:left w:val="nil"/>
              <w:bottom w:val="single" w:sz="8" w:space="0" w:color="auto"/>
              <w:right w:val="nil"/>
              <w:tl2br w:val="nil"/>
              <w:tr2bl w:val="nil"/>
            </w:tcBorders>
            <w:tcMar>
              <w:top w:w="0" w:type="dxa"/>
              <w:left w:w="0" w:type="dxa"/>
              <w:bottom w:w="0" w:type="dxa"/>
              <w:right w:w="0" w:type="dxa"/>
            </w:tcMar>
            <w:vAlign w:val="center"/>
          </w:tcPr>
          <w:p w:rsidR="00A70B25" w:rsidRDefault="00A70B25" w:rsidP="00917238">
            <w:r>
              <w:t> </w:t>
            </w:r>
          </w:p>
        </w:tc>
      </w:tr>
      <w:tr w:rsidR="00A70B25" w:rsidTr="00917238">
        <w:trPr>
          <w:trHeight w:val="20"/>
        </w:trPr>
        <w:tc>
          <w:tcPr>
            <w:tcW w:w="9180" w:type="dxa"/>
            <w:gridSpan w:val="3"/>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A70B25" w:rsidRDefault="00A70B25" w:rsidP="00917238">
            <w:pPr>
              <w:spacing w:before="120"/>
            </w:pPr>
            <w:r>
              <w:rPr>
                <w:b/>
                <w:bCs/>
                <w:lang w:val="vi-VN" w:eastAsia="vi-VN"/>
              </w:rPr>
              <w:t>Lệ phí</w:t>
            </w:r>
          </w:p>
        </w:tc>
      </w:tr>
      <w:tr w:rsidR="00A70B25" w:rsidTr="00917238">
        <w:trPr>
          <w:trHeight w:val="20"/>
        </w:trPr>
        <w:tc>
          <w:tcPr>
            <w:tcW w:w="1242"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A70B25" w:rsidRDefault="00A70B25" w:rsidP="00917238">
            <w:pPr>
              <w:spacing w:before="120"/>
            </w:pPr>
            <w:r>
              <w:rPr>
                <w:lang w:val="vi-VN" w:eastAsia="vi-VN"/>
              </w:rPr>
              <w:t> </w:t>
            </w:r>
          </w:p>
        </w:tc>
        <w:tc>
          <w:tcPr>
            <w:tcW w:w="7938"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A70B25" w:rsidRDefault="00A70B25" w:rsidP="00917238">
            <w:pPr>
              <w:spacing w:before="120"/>
            </w:pPr>
            <w:r>
              <w:rPr>
                <w:lang w:val="vi-VN" w:eastAsia="vi-VN"/>
              </w:rPr>
              <w:t>Không có</w:t>
            </w:r>
          </w:p>
          <w:p w:rsidR="00A70B25" w:rsidRDefault="00A70B25" w:rsidP="00917238">
            <w:pPr>
              <w:spacing w:before="120"/>
            </w:pPr>
            <w:r>
              <w:rPr>
                <w:lang w:val="vi-VN" w:eastAsia="vi-VN"/>
              </w:rPr>
              <w:t>Không có</w:t>
            </w:r>
          </w:p>
        </w:tc>
      </w:tr>
      <w:tr w:rsidR="00A70B25" w:rsidTr="00917238">
        <w:trPr>
          <w:trHeight w:val="20"/>
        </w:trPr>
        <w:tc>
          <w:tcPr>
            <w:tcW w:w="9180" w:type="dxa"/>
            <w:gridSpan w:val="3"/>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A70B25" w:rsidRDefault="00A70B25" w:rsidP="00917238">
            <w:pPr>
              <w:spacing w:before="120"/>
            </w:pPr>
            <w:r>
              <w:rPr>
                <w:b/>
                <w:bCs/>
                <w:lang w:val="vi-VN" w:eastAsia="vi-VN"/>
              </w:rPr>
              <w:t>Tên mẫu đơn, mẫu tờ khai</w:t>
            </w:r>
          </w:p>
        </w:tc>
      </w:tr>
      <w:tr w:rsidR="00A70B25" w:rsidTr="00917238">
        <w:trPr>
          <w:trHeight w:val="20"/>
        </w:trPr>
        <w:tc>
          <w:tcPr>
            <w:tcW w:w="1242"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A70B25" w:rsidRDefault="00A70B25" w:rsidP="00917238">
            <w:pPr>
              <w:spacing w:before="120"/>
            </w:pPr>
            <w:r>
              <w:rPr>
                <w:lang w:val="vi-VN" w:eastAsia="vi-VN"/>
              </w:rPr>
              <w:t> </w:t>
            </w:r>
          </w:p>
        </w:tc>
        <w:tc>
          <w:tcPr>
            <w:tcW w:w="7938"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A70B25" w:rsidRDefault="00A70B25" w:rsidP="00917238">
            <w:pPr>
              <w:spacing w:before="120"/>
              <w:jc w:val="both"/>
            </w:pPr>
            <w:r>
              <w:rPr>
                <w:lang w:val="vi-VN" w:eastAsia="vi-VN"/>
              </w:rPr>
              <w:t>Giấy giới thiệu của Sở LĐTBXH (M</w:t>
            </w:r>
            <w:r>
              <w:t>ẫ</w:t>
            </w:r>
            <w:r>
              <w:rPr>
                <w:lang w:val="vi-VN" w:eastAsia="vi-VN"/>
              </w:rPr>
              <w:t>u 1) ban hành kèm theo Thông tư 41/2013/TTLT-BYT-BLĐTBXH do Giám đốc hoặc Phó giám đốc Sở LĐTBXH ký tên và đóng dấu</w:t>
            </w:r>
          </w:p>
        </w:tc>
      </w:tr>
      <w:tr w:rsidR="00A70B25" w:rsidTr="00917238">
        <w:trPr>
          <w:trHeight w:val="20"/>
        </w:trPr>
        <w:tc>
          <w:tcPr>
            <w:tcW w:w="9180" w:type="dxa"/>
            <w:gridSpan w:val="3"/>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A70B25" w:rsidRDefault="00A70B25" w:rsidP="00917238">
            <w:pPr>
              <w:spacing w:before="120"/>
            </w:pPr>
            <w:r>
              <w:rPr>
                <w:b/>
                <w:bCs/>
                <w:lang w:val="vi-VN" w:eastAsia="vi-VN"/>
              </w:rPr>
              <w:t>Yêu cầu, điều kiện thủ tục hành chính</w:t>
            </w:r>
          </w:p>
        </w:tc>
      </w:tr>
      <w:tr w:rsidR="00A70B25" w:rsidTr="00917238">
        <w:trPr>
          <w:trHeight w:val="20"/>
        </w:trPr>
        <w:tc>
          <w:tcPr>
            <w:tcW w:w="1242"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A70B25" w:rsidRDefault="00A70B25" w:rsidP="00917238">
            <w:pPr>
              <w:spacing w:before="120"/>
            </w:pPr>
            <w:r>
              <w:rPr>
                <w:lang w:val="vi-VN" w:eastAsia="vi-VN"/>
              </w:rPr>
              <w:t> </w:t>
            </w:r>
          </w:p>
        </w:tc>
        <w:tc>
          <w:tcPr>
            <w:tcW w:w="7938"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A70B25" w:rsidRDefault="00A70B25" w:rsidP="00917238">
            <w:pPr>
              <w:spacing w:before="120"/>
            </w:pPr>
            <w:r>
              <w:rPr>
                <w:lang w:val="vi-VN" w:eastAsia="vi-VN"/>
              </w:rPr>
              <w:t>Không có</w:t>
            </w:r>
          </w:p>
        </w:tc>
      </w:tr>
      <w:tr w:rsidR="00A70B25" w:rsidTr="00917238">
        <w:trPr>
          <w:trHeight w:val="20"/>
        </w:trPr>
        <w:tc>
          <w:tcPr>
            <w:tcW w:w="9180" w:type="dxa"/>
            <w:gridSpan w:val="3"/>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A70B25" w:rsidRDefault="00A70B25" w:rsidP="00917238">
            <w:pPr>
              <w:spacing w:before="120"/>
            </w:pPr>
            <w:r>
              <w:rPr>
                <w:b/>
                <w:bCs/>
                <w:lang w:val="vi-VN" w:eastAsia="vi-VN"/>
              </w:rPr>
              <w:t>Căn cứ pháp lý của thủ tục hành chính</w:t>
            </w:r>
          </w:p>
        </w:tc>
      </w:tr>
      <w:tr w:rsidR="00A70B25" w:rsidTr="00917238">
        <w:trPr>
          <w:trHeight w:val="20"/>
        </w:trPr>
        <w:tc>
          <w:tcPr>
            <w:tcW w:w="1242"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A70B25" w:rsidRDefault="00A70B25" w:rsidP="00917238">
            <w:pPr>
              <w:spacing w:before="120"/>
            </w:pPr>
            <w:r>
              <w:rPr>
                <w:lang w:val="vi-VN" w:eastAsia="vi-VN"/>
              </w:rPr>
              <w:t> </w:t>
            </w:r>
          </w:p>
        </w:tc>
        <w:tc>
          <w:tcPr>
            <w:tcW w:w="7938"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A70B25" w:rsidRPr="002F4A80" w:rsidRDefault="00A70B25" w:rsidP="00917238">
            <w:pPr>
              <w:spacing w:before="120" w:after="100" w:afterAutospacing="1"/>
              <w:rPr>
                <w:lang w:val="vi-VN"/>
              </w:rPr>
            </w:pPr>
            <w:r>
              <w:t xml:space="preserve">1. </w:t>
            </w:r>
            <w:r>
              <w:rPr>
                <w:lang w:val="vi-VN" w:eastAsia="vi-VN"/>
              </w:rPr>
              <w:t>Căn cứ Pháp lệnh s</w:t>
            </w:r>
            <w:r>
              <w:t xml:space="preserve">ố </w:t>
            </w:r>
            <w:r>
              <w:rPr>
                <w:lang w:val="vi-VN" w:eastAsia="vi-VN"/>
              </w:rPr>
              <w:t>26/2005/PL-UBTVQH11 ngày 29 tháng 6 năm 2005 của Ủy ban thường vụ Quốc hội về việc ưu đãi người có công với cách mạng và Pháp lệnh số 04/2012/</w:t>
            </w:r>
            <w:r>
              <w:t>U</w:t>
            </w:r>
            <w:r>
              <w:rPr>
                <w:lang w:val="vi-VN" w:eastAsia="vi-VN"/>
              </w:rPr>
              <w:t xml:space="preserve">BTVQH13 ngày 16 </w:t>
            </w:r>
            <w:r>
              <w:t>t</w:t>
            </w:r>
            <w:r>
              <w:rPr>
                <w:lang w:val="vi-VN" w:eastAsia="vi-VN"/>
              </w:rPr>
              <w:t>háng 7 năm 2012 của Ủy ban thường vụ Quốc hội về việc sửa đổi, bổ sung một số điều của Pháp lệnh ưu đãi người có công với cách mạng. Hiệu lực từ ngày 01/10/2005.</w:t>
            </w:r>
          </w:p>
          <w:p w:rsidR="00A70B25" w:rsidRPr="002F4A80" w:rsidRDefault="00A70B25" w:rsidP="00917238">
            <w:pPr>
              <w:spacing w:before="120" w:after="100" w:afterAutospacing="1"/>
              <w:rPr>
                <w:lang w:val="vi-VN"/>
              </w:rPr>
            </w:pPr>
            <w:r w:rsidRPr="002F4A80">
              <w:rPr>
                <w:lang w:val="vi-VN"/>
              </w:rPr>
              <w:t xml:space="preserve">2. </w:t>
            </w:r>
            <w:r>
              <w:rPr>
                <w:lang w:val="vi-VN" w:eastAsia="vi-VN"/>
              </w:rPr>
              <w:t>Căn cứ Nghị định số 31/2013/NĐ-CP ngày 09 tháng 4 năm 2013 của Chính phủ quy định chi tiết, hướng dẫn thi hành một số điều của Pháp lệnh ưu đãi người có công với cách mạng. Hiệu lực từ ngày 01/6/2013.</w:t>
            </w:r>
          </w:p>
          <w:p w:rsidR="00A70B25" w:rsidRDefault="00A70B25" w:rsidP="00917238">
            <w:pPr>
              <w:spacing w:before="120"/>
            </w:pPr>
            <w:r w:rsidRPr="002F4A80">
              <w:rPr>
                <w:lang w:val="vi-VN"/>
              </w:rPr>
              <w:t xml:space="preserve">3. </w:t>
            </w:r>
            <w:r>
              <w:rPr>
                <w:lang w:val="vi-VN" w:eastAsia="vi-VN"/>
              </w:rPr>
              <w:t>Thông tư số 41/2013/TT-BYT ngày 18/11/2013 của Bộ Y tế hướng dẫn khám giám định bệnh, tật, dị dạng, dị tật có liên quan đến phơi nhiễm với chất độc hóa học đối với người hoạ</w:t>
            </w:r>
            <w:r w:rsidRPr="002F4A80">
              <w:rPr>
                <w:lang w:val="vi-VN"/>
              </w:rPr>
              <w:t xml:space="preserve">t </w:t>
            </w:r>
            <w:r>
              <w:rPr>
                <w:lang w:val="vi-VN" w:eastAsia="vi-VN"/>
              </w:rPr>
              <w:t xml:space="preserve">động kháng </w:t>
            </w:r>
            <w:r>
              <w:rPr>
                <w:lang w:val="vi-VN" w:eastAsia="vi-VN"/>
              </w:rPr>
              <w:lastRenderedPageBreak/>
              <w:t>chiến và con đẻ của họ. Hiệu lực từ ngày 05/01/2014.</w:t>
            </w:r>
          </w:p>
        </w:tc>
      </w:tr>
    </w:tbl>
    <w:p w:rsidR="00A70B25" w:rsidRDefault="00A70B25" w:rsidP="00A70B25">
      <w:pPr>
        <w:spacing w:before="120" w:after="100" w:afterAutospacing="1"/>
      </w:pPr>
      <w:r>
        <w:lastRenderedPageBreak/>
        <w:t> </w:t>
      </w:r>
    </w:p>
    <w:p w:rsidR="00A70B25" w:rsidRDefault="00A70B25" w:rsidP="00A70B25">
      <w:pPr>
        <w:spacing w:before="120" w:after="100" w:afterAutospacing="1"/>
        <w:jc w:val="center"/>
      </w:pPr>
      <w:r>
        <w:rPr>
          <w:b/>
          <w:bCs/>
          <w:lang w:val="vi-VN" w:eastAsia="vi-VN"/>
        </w:rPr>
        <w:t>MẪU 1</w:t>
      </w:r>
    </w:p>
    <w:p w:rsidR="00A70B25" w:rsidRDefault="00A70B25" w:rsidP="00A70B25">
      <w:pPr>
        <w:spacing w:before="120" w:after="100" w:afterAutospacing="1"/>
        <w:jc w:val="center"/>
      </w:pPr>
      <w:r>
        <w:t>GIẤY GIỚI THIỆU KHÁM GIÁM ĐỊNH BỆNH, TẬT, DỊ DẠNG, DỊ TẬT CÓ LIÊN QUAN ĐẾN PHƠI NHIỄM VỚI CHẤT ĐỘC HÓA HỌC</w:t>
      </w:r>
      <w:r>
        <w:br/>
      </w:r>
      <w:r>
        <w:rPr>
          <w:i/>
          <w:iCs/>
          <w:lang w:val="vi-VN" w:eastAsia="vi-VN"/>
        </w:rPr>
        <w:t xml:space="preserve">(Ban hành kèm theo Thông tư liên tịch số 41/2013/TTLT-BYT-BLĐTBXH </w:t>
      </w:r>
      <w:r>
        <w:rPr>
          <w:i/>
          <w:iCs/>
        </w:rPr>
        <w:t>n</w:t>
      </w:r>
      <w:r>
        <w:rPr>
          <w:i/>
          <w:iCs/>
          <w:lang w:val="vi-VN" w:eastAsia="vi-VN"/>
        </w:rPr>
        <w:t xml:space="preserve">gày 18 tháng </w:t>
      </w:r>
      <w:r>
        <w:rPr>
          <w:i/>
          <w:iCs/>
        </w:rPr>
        <w:t xml:space="preserve">11 </w:t>
      </w:r>
      <w:r>
        <w:rPr>
          <w:i/>
          <w:iCs/>
          <w:lang w:val="vi-VN" w:eastAsia="vi-VN"/>
        </w:rPr>
        <w:t>năm 2013 của Bộ Y tế, Bộ Lao động - Thương binh và Xã hội)</w:t>
      </w:r>
    </w:p>
    <w:tbl>
      <w:tblPr>
        <w:tblW w:w="0" w:type="auto"/>
        <w:tblLayout w:type="fixed"/>
        <w:tblCellMar>
          <w:left w:w="0" w:type="dxa"/>
          <w:right w:w="0" w:type="dxa"/>
        </w:tblCellMar>
        <w:tblLook w:val="0000" w:firstRow="0" w:lastRow="0" w:firstColumn="0" w:lastColumn="0" w:noHBand="0" w:noVBand="0"/>
      </w:tblPr>
      <w:tblGrid>
        <w:gridCol w:w="2916"/>
        <w:gridCol w:w="5724"/>
      </w:tblGrid>
      <w:tr w:rsidR="00A70B25" w:rsidRPr="000A1E4A" w:rsidTr="00917238">
        <w:tc>
          <w:tcPr>
            <w:tcW w:w="2916" w:type="dxa"/>
            <w:tcBorders>
              <w:tl2br w:val="nil"/>
              <w:tr2bl w:val="nil"/>
            </w:tcBorders>
            <w:tcMar>
              <w:top w:w="0" w:type="dxa"/>
              <w:left w:w="108" w:type="dxa"/>
              <w:bottom w:w="0" w:type="dxa"/>
              <w:right w:w="108" w:type="dxa"/>
            </w:tcMar>
          </w:tcPr>
          <w:p w:rsidR="00A70B25" w:rsidRPr="000A1E4A" w:rsidRDefault="00A70B25" w:rsidP="00917238">
            <w:pPr>
              <w:spacing w:before="120"/>
              <w:jc w:val="center"/>
              <w:rPr>
                <w:sz w:val="26"/>
              </w:rPr>
            </w:pPr>
            <w:r w:rsidRPr="000A1E4A">
              <w:rPr>
                <w:sz w:val="26"/>
              </w:rPr>
              <w:t>UBND TỈNH/THÀNH PHỐ…</w:t>
            </w:r>
            <w:r w:rsidRPr="000A1E4A">
              <w:rPr>
                <w:sz w:val="26"/>
              </w:rPr>
              <w:br/>
            </w:r>
            <w:r w:rsidRPr="000A1E4A">
              <w:rPr>
                <w:b/>
                <w:bCs/>
                <w:sz w:val="26"/>
              </w:rPr>
              <w:t>SỞ LAO ĐỘNG - THƯƠNG BINH VÀ XÃ HỘI</w:t>
            </w:r>
            <w:r w:rsidRPr="000A1E4A">
              <w:rPr>
                <w:b/>
                <w:bCs/>
                <w:sz w:val="26"/>
                <w:lang w:val="vi-VN" w:eastAsia="vi-VN"/>
              </w:rPr>
              <w:br/>
              <w:t>-------</w:t>
            </w:r>
          </w:p>
        </w:tc>
        <w:tc>
          <w:tcPr>
            <w:tcW w:w="5724" w:type="dxa"/>
            <w:tcBorders>
              <w:tl2br w:val="nil"/>
              <w:tr2bl w:val="nil"/>
            </w:tcBorders>
            <w:tcMar>
              <w:top w:w="0" w:type="dxa"/>
              <w:left w:w="108" w:type="dxa"/>
              <w:bottom w:w="0" w:type="dxa"/>
              <w:right w:w="108" w:type="dxa"/>
            </w:tcMar>
          </w:tcPr>
          <w:p w:rsidR="00A70B25" w:rsidRPr="000A1E4A" w:rsidRDefault="00A70B25" w:rsidP="00917238">
            <w:pPr>
              <w:spacing w:before="120"/>
              <w:jc w:val="center"/>
              <w:rPr>
                <w:sz w:val="26"/>
              </w:rPr>
            </w:pPr>
            <w:r w:rsidRPr="000A1E4A">
              <w:rPr>
                <w:b/>
                <w:bCs/>
                <w:sz w:val="26"/>
                <w:lang w:val="vi-VN" w:eastAsia="vi-VN"/>
              </w:rPr>
              <w:t>CỘNG HÒA XÃ HỘI CHỦ NGHĨA VIỆT NAM</w:t>
            </w:r>
            <w:r w:rsidRPr="000A1E4A">
              <w:rPr>
                <w:b/>
                <w:bCs/>
                <w:sz w:val="26"/>
                <w:lang w:val="vi-VN" w:eastAsia="vi-VN"/>
              </w:rPr>
              <w:br/>
              <w:t xml:space="preserve">Độc lập - Tự do - Hạnh phúc </w:t>
            </w:r>
            <w:r w:rsidRPr="000A1E4A">
              <w:rPr>
                <w:b/>
                <w:bCs/>
                <w:sz w:val="26"/>
                <w:lang w:val="vi-VN" w:eastAsia="vi-VN"/>
              </w:rPr>
              <w:br/>
              <w:t>---------------</w:t>
            </w:r>
          </w:p>
        </w:tc>
      </w:tr>
      <w:tr w:rsidR="00A70B25" w:rsidRPr="000A1E4A" w:rsidTr="00917238">
        <w:tc>
          <w:tcPr>
            <w:tcW w:w="2916" w:type="dxa"/>
            <w:tcBorders>
              <w:tl2br w:val="nil"/>
              <w:tr2bl w:val="nil"/>
            </w:tcBorders>
            <w:tcMar>
              <w:top w:w="0" w:type="dxa"/>
              <w:left w:w="108" w:type="dxa"/>
              <w:bottom w:w="0" w:type="dxa"/>
              <w:right w:w="108" w:type="dxa"/>
            </w:tcMar>
          </w:tcPr>
          <w:p w:rsidR="00A70B25" w:rsidRPr="000A1E4A" w:rsidRDefault="00A70B25" w:rsidP="00917238">
            <w:pPr>
              <w:spacing w:before="120"/>
              <w:jc w:val="center"/>
              <w:rPr>
                <w:sz w:val="26"/>
              </w:rPr>
            </w:pPr>
            <w:r w:rsidRPr="000A1E4A">
              <w:rPr>
                <w:sz w:val="26"/>
                <w:lang w:val="vi-VN" w:eastAsia="vi-VN"/>
              </w:rPr>
              <w:t xml:space="preserve">Số: </w:t>
            </w:r>
            <w:r w:rsidRPr="000A1E4A">
              <w:rPr>
                <w:sz w:val="26"/>
              </w:rPr>
              <w:t>……./SLĐTBXH-GGT</w:t>
            </w:r>
          </w:p>
        </w:tc>
        <w:tc>
          <w:tcPr>
            <w:tcW w:w="5724" w:type="dxa"/>
            <w:tcBorders>
              <w:tl2br w:val="nil"/>
              <w:tr2bl w:val="nil"/>
            </w:tcBorders>
            <w:tcMar>
              <w:top w:w="0" w:type="dxa"/>
              <w:left w:w="108" w:type="dxa"/>
              <w:bottom w:w="0" w:type="dxa"/>
              <w:right w:w="108" w:type="dxa"/>
            </w:tcMar>
          </w:tcPr>
          <w:p w:rsidR="00A70B25" w:rsidRPr="000A1E4A" w:rsidRDefault="00A70B25" w:rsidP="00917238">
            <w:pPr>
              <w:spacing w:before="120"/>
              <w:jc w:val="right"/>
              <w:rPr>
                <w:sz w:val="26"/>
              </w:rPr>
            </w:pPr>
            <w:proofErr w:type="gramStart"/>
            <w:r w:rsidRPr="000A1E4A">
              <w:rPr>
                <w:i/>
                <w:iCs/>
                <w:sz w:val="26"/>
              </w:rPr>
              <w:t>……..,</w:t>
            </w:r>
            <w:proofErr w:type="gramEnd"/>
            <w:r w:rsidRPr="000A1E4A">
              <w:rPr>
                <w:i/>
                <w:iCs/>
                <w:sz w:val="26"/>
              </w:rPr>
              <w:t xml:space="preserve"> </w:t>
            </w:r>
            <w:proofErr w:type="spellStart"/>
            <w:r w:rsidRPr="000A1E4A">
              <w:rPr>
                <w:i/>
                <w:iCs/>
                <w:sz w:val="26"/>
              </w:rPr>
              <w:t>ngày</w:t>
            </w:r>
            <w:proofErr w:type="spellEnd"/>
            <w:r w:rsidRPr="000A1E4A">
              <w:rPr>
                <w:i/>
                <w:iCs/>
                <w:sz w:val="26"/>
              </w:rPr>
              <w:t xml:space="preserve">… </w:t>
            </w:r>
            <w:proofErr w:type="spellStart"/>
            <w:r w:rsidRPr="000A1E4A">
              <w:rPr>
                <w:i/>
                <w:iCs/>
                <w:sz w:val="26"/>
              </w:rPr>
              <w:t>tháng</w:t>
            </w:r>
            <w:proofErr w:type="spellEnd"/>
            <w:r w:rsidRPr="000A1E4A">
              <w:rPr>
                <w:i/>
                <w:iCs/>
                <w:sz w:val="26"/>
              </w:rPr>
              <w:t xml:space="preserve">… </w:t>
            </w:r>
            <w:proofErr w:type="spellStart"/>
            <w:r w:rsidRPr="000A1E4A">
              <w:rPr>
                <w:i/>
                <w:iCs/>
                <w:sz w:val="26"/>
              </w:rPr>
              <w:t>năm</w:t>
            </w:r>
            <w:proofErr w:type="spellEnd"/>
            <w:r w:rsidRPr="000A1E4A">
              <w:rPr>
                <w:i/>
                <w:iCs/>
                <w:sz w:val="26"/>
              </w:rPr>
              <w:t>….</w:t>
            </w:r>
          </w:p>
        </w:tc>
      </w:tr>
    </w:tbl>
    <w:p w:rsidR="00A70B25" w:rsidRDefault="00A70B25" w:rsidP="00A70B25">
      <w:pPr>
        <w:spacing w:before="120" w:after="100" w:afterAutospacing="1"/>
        <w:jc w:val="center"/>
      </w:pPr>
      <w:r>
        <w:rPr>
          <w:b/>
          <w:bCs/>
          <w:lang w:val="vi-VN" w:eastAsia="vi-VN"/>
        </w:rPr>
        <w:t>GIẤY GIỚI THIỆU</w:t>
      </w:r>
    </w:p>
    <w:p w:rsidR="00A70B25" w:rsidRDefault="00A70B25" w:rsidP="00A70B25">
      <w:pPr>
        <w:spacing w:before="120" w:after="100" w:afterAutospacing="1"/>
        <w:jc w:val="center"/>
      </w:pPr>
      <w:r>
        <w:rPr>
          <w:lang w:val="vi-VN" w:eastAsia="vi-VN"/>
        </w:rPr>
        <w:t>Kính gửi</w:t>
      </w:r>
      <w:r>
        <w:t xml:space="preserve">: </w:t>
      </w:r>
      <w:r>
        <w:rPr>
          <w:lang w:val="vi-VN" w:eastAsia="vi-VN"/>
        </w:rPr>
        <w:t>Hội đồng Giám định Y khoa</w:t>
      </w:r>
      <w:r>
        <w:t>……………………….</w:t>
      </w:r>
    </w:p>
    <w:p w:rsidR="00A70B25" w:rsidRDefault="00A70B25" w:rsidP="00A70B25">
      <w:pPr>
        <w:spacing w:before="120" w:after="100" w:afterAutospacing="1"/>
        <w:jc w:val="center"/>
      </w:pPr>
      <w:r>
        <w:rPr>
          <w:b/>
          <w:bCs/>
          <w:lang w:val="vi-VN" w:eastAsia="vi-VN"/>
        </w:rPr>
        <w:t>SỞ LAO ĐỘNG - THƯƠNG BINH VÀ XÃ HỘI TỈNH/THÀNH PHỐ</w:t>
      </w:r>
    </w:p>
    <w:p w:rsidR="00A70B25" w:rsidRDefault="00A70B25" w:rsidP="00A70B25">
      <w:pPr>
        <w:spacing w:before="120" w:after="100" w:afterAutospacing="1"/>
        <w:jc w:val="center"/>
      </w:pPr>
      <w:r>
        <w:t>……………………………………………………..</w:t>
      </w:r>
    </w:p>
    <w:p w:rsidR="00A70B25" w:rsidRDefault="00A70B25" w:rsidP="00A70B25">
      <w:pPr>
        <w:spacing w:before="120" w:after="100" w:afterAutospacing="1"/>
      </w:pPr>
      <w:r>
        <w:rPr>
          <w:lang w:val="vi-VN" w:eastAsia="vi-VN"/>
        </w:rPr>
        <w:t xml:space="preserve">Trân trọng giới thiệu: </w:t>
      </w:r>
      <w:r>
        <w:t>Ô</w:t>
      </w:r>
      <w:r>
        <w:rPr>
          <w:lang w:val="vi-VN" w:eastAsia="vi-VN"/>
        </w:rPr>
        <w:t>ng (Bà)</w:t>
      </w:r>
      <w:r>
        <w:t>……… ……………..</w:t>
      </w:r>
      <w:r>
        <w:rPr>
          <w:lang w:val="vi-VN" w:eastAsia="vi-VN"/>
        </w:rPr>
        <w:t>Giới tính: □ Nam □ Nữ</w:t>
      </w:r>
    </w:p>
    <w:p w:rsidR="00A70B25" w:rsidRDefault="00A70B25" w:rsidP="00A70B25">
      <w:pPr>
        <w:spacing w:before="120" w:after="100" w:afterAutospacing="1"/>
      </w:pPr>
      <w:r>
        <w:rPr>
          <w:lang w:val="vi-VN" w:eastAsia="vi-VN"/>
        </w:rPr>
        <w:t>Sinh ngày</w:t>
      </w:r>
      <w:r>
        <w:t xml:space="preserve">……… </w:t>
      </w:r>
      <w:proofErr w:type="spellStart"/>
      <w:r>
        <w:t>tháng</w:t>
      </w:r>
      <w:proofErr w:type="spellEnd"/>
      <w:r>
        <w:t xml:space="preserve">………. </w:t>
      </w:r>
      <w:proofErr w:type="spellStart"/>
      <w:proofErr w:type="gramStart"/>
      <w:r>
        <w:t>năm</w:t>
      </w:r>
      <w:proofErr w:type="spellEnd"/>
      <w:proofErr w:type="gramEnd"/>
      <w:r>
        <w:t>……….</w:t>
      </w:r>
    </w:p>
    <w:p w:rsidR="00A70B25" w:rsidRDefault="00A70B25" w:rsidP="00A70B25">
      <w:pPr>
        <w:spacing w:before="120" w:after="100" w:afterAutospacing="1"/>
      </w:pPr>
      <w:r>
        <w:rPr>
          <w:lang w:val="vi-VN" w:eastAsia="vi-VN"/>
        </w:rPr>
        <w:t>Giấy CMND/Giấy khai sinh số:</w:t>
      </w:r>
      <w:r>
        <w:t xml:space="preserve">…………. </w:t>
      </w:r>
      <w:proofErr w:type="spellStart"/>
      <w:r>
        <w:t>Ngày</w:t>
      </w:r>
      <w:proofErr w:type="spellEnd"/>
      <w:r>
        <w:t>…</w:t>
      </w:r>
      <w:proofErr w:type="gramStart"/>
      <w:r>
        <w:t>./</w:t>
      </w:r>
      <w:proofErr w:type="gramEnd"/>
      <w:r>
        <w:t xml:space="preserve"> …./ ….. </w:t>
      </w:r>
      <w:proofErr w:type="spellStart"/>
      <w:r>
        <w:t>Nơi</w:t>
      </w:r>
      <w:proofErr w:type="spellEnd"/>
      <w:r>
        <w:t xml:space="preserve"> </w:t>
      </w:r>
      <w:proofErr w:type="spellStart"/>
      <w:r>
        <w:t>cấp</w:t>
      </w:r>
      <w:proofErr w:type="spellEnd"/>
      <w:r>
        <w:t>: ……</w:t>
      </w:r>
    </w:p>
    <w:p w:rsidR="00A70B25" w:rsidRDefault="00A70B25" w:rsidP="00A70B25">
      <w:pPr>
        <w:spacing w:before="120" w:after="100" w:afterAutospacing="1"/>
      </w:pPr>
      <w:r>
        <w:rPr>
          <w:lang w:val="vi-VN" w:eastAsia="vi-VN"/>
        </w:rPr>
        <w:t>Chỗ ở hiện tại</w:t>
      </w:r>
      <w:r>
        <w:t>:....................................................................................... …….</w:t>
      </w:r>
    </w:p>
    <w:p w:rsidR="00A70B25" w:rsidRDefault="00A70B25" w:rsidP="00A70B25">
      <w:pPr>
        <w:spacing w:before="120" w:after="100" w:afterAutospacing="1"/>
      </w:pPr>
      <w:r>
        <w:rPr>
          <w:lang w:val="vi-VN" w:eastAsia="vi-VN"/>
        </w:rPr>
        <w:t>Là Người hoạt động kháng chiến/Con đẻ Người hoạt động kháng chiến bị phơi nhiễm với chất độc hóa học</w:t>
      </w:r>
    </w:p>
    <w:p w:rsidR="00A70B25" w:rsidRPr="00F32E48" w:rsidRDefault="00A70B25" w:rsidP="00A70B25">
      <w:pPr>
        <w:spacing w:before="120" w:after="100" w:afterAutospacing="1"/>
      </w:pPr>
      <w:r>
        <w:rPr>
          <w:lang w:val="vi-VN" w:eastAsia="vi-VN"/>
        </w:rPr>
        <w:t>Được giới thiệu đến Hội đồng Giám định Y khoa...............</w:t>
      </w:r>
      <w:r>
        <w:t>.................</w:t>
      </w:r>
      <w:r>
        <w:rPr>
          <w:lang w:val="vi-VN" w:eastAsia="vi-VN"/>
        </w:rPr>
        <w:t xml:space="preserve">...... </w:t>
      </w:r>
      <w:r>
        <w:rPr>
          <w:lang w:eastAsia="vi-VN"/>
        </w:rPr>
        <w:t>…</w:t>
      </w:r>
    </w:p>
    <w:p w:rsidR="00A70B25" w:rsidRPr="00F32E48" w:rsidRDefault="00A70B25" w:rsidP="00A70B25">
      <w:pPr>
        <w:spacing w:before="120" w:after="100" w:afterAutospacing="1"/>
      </w:pPr>
      <w:r>
        <w:rPr>
          <w:lang w:val="vi-VN" w:eastAsia="vi-VN"/>
        </w:rPr>
        <w:t xml:space="preserve">để khám giám định*................................................................................ </w:t>
      </w:r>
      <w:r>
        <w:rPr>
          <w:lang w:eastAsia="vi-VN"/>
        </w:rPr>
        <w:t>……….</w:t>
      </w:r>
    </w:p>
    <w:p w:rsidR="00A70B25" w:rsidRDefault="00A70B25" w:rsidP="00A70B25">
      <w:pPr>
        <w:spacing w:before="120" w:after="100" w:afterAutospacing="1"/>
      </w:pPr>
      <w:r>
        <w:t xml:space="preserve">............................................................................................................................... </w:t>
      </w:r>
    </w:p>
    <w:p w:rsidR="00A70B25" w:rsidRDefault="00A70B25" w:rsidP="00A70B25">
      <w:pPr>
        <w:spacing w:before="120" w:after="100" w:afterAutospacing="1"/>
      </w:pPr>
      <w:r>
        <w:rPr>
          <w:lang w:val="vi-VN" w:eastAsia="vi-VN"/>
        </w:rPr>
        <w:t>có liên quan đến phơi nhiễm với chất độc hóa học.</w:t>
      </w:r>
    </w:p>
    <w:tbl>
      <w:tblPr>
        <w:tblW w:w="0" w:type="auto"/>
        <w:tblLayout w:type="fixed"/>
        <w:tblCellMar>
          <w:left w:w="0" w:type="dxa"/>
          <w:right w:w="0" w:type="dxa"/>
        </w:tblCellMar>
        <w:tblLook w:val="0000" w:firstRow="0" w:lastRow="0" w:firstColumn="0" w:lastColumn="0" w:noHBand="0" w:noVBand="0"/>
      </w:tblPr>
      <w:tblGrid>
        <w:gridCol w:w="4572"/>
        <w:gridCol w:w="4068"/>
      </w:tblGrid>
      <w:tr w:rsidR="00A70B25" w:rsidTr="00917238">
        <w:tc>
          <w:tcPr>
            <w:tcW w:w="4572" w:type="dxa"/>
            <w:tcBorders>
              <w:tl2br w:val="nil"/>
              <w:tr2bl w:val="nil"/>
            </w:tcBorders>
            <w:tcMar>
              <w:top w:w="0" w:type="dxa"/>
              <w:left w:w="108" w:type="dxa"/>
              <w:bottom w:w="0" w:type="dxa"/>
              <w:right w:w="108" w:type="dxa"/>
            </w:tcMar>
          </w:tcPr>
          <w:p w:rsidR="00A70B25" w:rsidRDefault="00A70B25" w:rsidP="00917238">
            <w:pPr>
              <w:spacing w:before="120" w:after="100" w:afterAutospacing="1"/>
            </w:pPr>
            <w:r>
              <w:lastRenderedPageBreak/>
              <w:t> </w:t>
            </w:r>
            <w:proofErr w:type="spellStart"/>
            <w:r>
              <w:t>Các</w:t>
            </w:r>
            <w:proofErr w:type="spellEnd"/>
            <w:r>
              <w:t xml:space="preserve"> </w:t>
            </w:r>
            <w:proofErr w:type="spellStart"/>
            <w:r>
              <w:t>giấy</w:t>
            </w:r>
            <w:proofErr w:type="spellEnd"/>
            <w:r>
              <w:t xml:space="preserve"> </w:t>
            </w:r>
            <w:proofErr w:type="spellStart"/>
            <w:r>
              <w:t>tờ</w:t>
            </w:r>
            <w:proofErr w:type="spellEnd"/>
            <w:r>
              <w:t xml:space="preserve"> </w:t>
            </w:r>
            <w:proofErr w:type="spellStart"/>
            <w:r>
              <w:t>kèm</w:t>
            </w:r>
            <w:proofErr w:type="spellEnd"/>
            <w:r>
              <w:t xml:space="preserve"> </w:t>
            </w:r>
            <w:proofErr w:type="spellStart"/>
            <w:r>
              <w:t>theo</w:t>
            </w:r>
            <w:proofErr w:type="spellEnd"/>
            <w:r>
              <w:t xml:space="preserve">, </w:t>
            </w:r>
            <w:proofErr w:type="spellStart"/>
            <w:r>
              <w:t>gồm</w:t>
            </w:r>
            <w:proofErr w:type="spellEnd"/>
            <w:r>
              <w:t xml:space="preserve"> </w:t>
            </w:r>
            <w:proofErr w:type="spellStart"/>
            <w:r>
              <w:t>có</w:t>
            </w:r>
            <w:proofErr w:type="spellEnd"/>
            <w:r>
              <w:t>:</w:t>
            </w:r>
          </w:p>
          <w:p w:rsidR="00A70B25" w:rsidRDefault="00A70B25" w:rsidP="00917238">
            <w:pPr>
              <w:spacing w:before="120" w:after="100" w:afterAutospacing="1"/>
            </w:pPr>
            <w:r>
              <w:t xml:space="preserve">1............................................................ </w:t>
            </w:r>
          </w:p>
          <w:p w:rsidR="00A70B25" w:rsidRDefault="00A70B25" w:rsidP="00917238">
            <w:pPr>
              <w:spacing w:before="120" w:after="100" w:afterAutospacing="1"/>
            </w:pPr>
            <w:r>
              <w:t xml:space="preserve">2............................................................ </w:t>
            </w:r>
          </w:p>
          <w:p w:rsidR="00A70B25" w:rsidRDefault="00A70B25" w:rsidP="00917238">
            <w:pPr>
              <w:spacing w:before="120"/>
            </w:pPr>
            <w:r>
              <w:t xml:space="preserve">3............................................................ </w:t>
            </w:r>
          </w:p>
        </w:tc>
        <w:tc>
          <w:tcPr>
            <w:tcW w:w="4068" w:type="dxa"/>
            <w:tcBorders>
              <w:tl2br w:val="nil"/>
              <w:tr2bl w:val="nil"/>
            </w:tcBorders>
            <w:tcMar>
              <w:top w:w="0" w:type="dxa"/>
              <w:left w:w="108" w:type="dxa"/>
              <w:bottom w:w="0" w:type="dxa"/>
              <w:right w:w="108" w:type="dxa"/>
            </w:tcMar>
          </w:tcPr>
          <w:p w:rsidR="00A70B25" w:rsidRDefault="00A70B25" w:rsidP="00917238">
            <w:pPr>
              <w:spacing w:before="120"/>
              <w:jc w:val="center"/>
            </w:pPr>
            <w:r>
              <w:rPr>
                <w:b/>
                <w:bCs/>
              </w:rPr>
              <w:t>GIÁM ĐỐC</w:t>
            </w:r>
            <w:r>
              <w:rPr>
                <w:b/>
                <w:bCs/>
              </w:rPr>
              <w:br/>
            </w:r>
            <w:r>
              <w:rPr>
                <w:i/>
                <w:iCs/>
              </w:rPr>
              <w:t>(</w:t>
            </w:r>
            <w:proofErr w:type="spellStart"/>
            <w:r>
              <w:rPr>
                <w:i/>
                <w:iCs/>
              </w:rPr>
              <w:t>Ký</w:t>
            </w:r>
            <w:proofErr w:type="spellEnd"/>
            <w:r>
              <w:rPr>
                <w:i/>
                <w:iCs/>
              </w:rPr>
              <w:t xml:space="preserve"> </w:t>
            </w:r>
            <w:proofErr w:type="spellStart"/>
            <w:r>
              <w:rPr>
                <w:i/>
                <w:iCs/>
              </w:rPr>
              <w:t>tên</w:t>
            </w:r>
            <w:proofErr w:type="spellEnd"/>
            <w:r>
              <w:rPr>
                <w:i/>
                <w:iCs/>
              </w:rPr>
              <w:t xml:space="preserve">, </w:t>
            </w:r>
            <w:proofErr w:type="spellStart"/>
            <w:r>
              <w:rPr>
                <w:i/>
                <w:iCs/>
              </w:rPr>
              <w:t>đóng</w:t>
            </w:r>
            <w:proofErr w:type="spellEnd"/>
            <w:r>
              <w:rPr>
                <w:i/>
                <w:iCs/>
              </w:rPr>
              <w:t xml:space="preserve"> </w:t>
            </w:r>
            <w:proofErr w:type="spellStart"/>
            <w:r>
              <w:rPr>
                <w:i/>
                <w:iCs/>
              </w:rPr>
              <w:t>dấu</w:t>
            </w:r>
            <w:proofErr w:type="spellEnd"/>
            <w:r>
              <w:rPr>
                <w:i/>
                <w:iCs/>
              </w:rPr>
              <w:t>)</w:t>
            </w:r>
          </w:p>
        </w:tc>
      </w:tr>
    </w:tbl>
    <w:p w:rsidR="00A70B25" w:rsidRPr="00AB1D8B" w:rsidRDefault="00A70B25" w:rsidP="00A70B25">
      <w:pPr>
        <w:spacing w:before="120" w:after="100" w:afterAutospacing="1"/>
        <w:rPr>
          <w:spacing w:val="-8"/>
          <w:szCs w:val="28"/>
        </w:rPr>
      </w:pPr>
      <w:r w:rsidRPr="00AB1D8B">
        <w:rPr>
          <w:i/>
          <w:iCs/>
          <w:spacing w:val="-8"/>
          <w:szCs w:val="28"/>
          <w:lang w:val="vi-VN" w:eastAsia="vi-VN"/>
        </w:rPr>
        <w:t>Ghi chú: Giấy giới thiệu có giá trị trong vòng ba th</w:t>
      </w:r>
      <w:r w:rsidRPr="00AB1D8B">
        <w:rPr>
          <w:i/>
          <w:iCs/>
          <w:spacing w:val="-8"/>
          <w:szCs w:val="28"/>
        </w:rPr>
        <w:t>á</w:t>
      </w:r>
      <w:r w:rsidRPr="00AB1D8B">
        <w:rPr>
          <w:i/>
          <w:iCs/>
          <w:spacing w:val="-8"/>
          <w:szCs w:val="28"/>
          <w:lang w:val="vi-VN" w:eastAsia="vi-VN"/>
        </w:rPr>
        <w:t>ng kể từ ngày k</w:t>
      </w:r>
      <w:r w:rsidRPr="00AB1D8B">
        <w:rPr>
          <w:i/>
          <w:iCs/>
          <w:spacing w:val="-8"/>
          <w:szCs w:val="28"/>
        </w:rPr>
        <w:t xml:space="preserve">ý </w:t>
      </w:r>
      <w:r w:rsidRPr="00AB1D8B">
        <w:rPr>
          <w:i/>
          <w:iCs/>
          <w:spacing w:val="-8"/>
          <w:szCs w:val="28"/>
          <w:lang w:val="vi-VN" w:eastAsia="vi-VN"/>
        </w:rPr>
        <w:t>Giấy giới thiệu.</w:t>
      </w:r>
    </w:p>
    <w:p w:rsidR="00A70B25" w:rsidRDefault="00A70B25" w:rsidP="00A70B25">
      <w:pPr>
        <w:spacing w:before="120" w:after="100" w:afterAutospacing="1"/>
      </w:pPr>
      <w:r>
        <w:rPr>
          <w:i/>
          <w:iCs/>
          <w:lang w:val="vi-VN" w:eastAsia="vi-VN"/>
        </w:rPr>
        <w:t>* Ghi rõ yêu cầu giám định bệnh, tật, dị dạng, dị tật tùy theo đ</w:t>
      </w:r>
      <w:r>
        <w:rPr>
          <w:i/>
          <w:iCs/>
        </w:rPr>
        <w:t>ố</w:t>
      </w:r>
      <w:r>
        <w:rPr>
          <w:i/>
          <w:iCs/>
          <w:lang w:val="vi-VN" w:eastAsia="vi-VN"/>
        </w:rPr>
        <w:t>i tượng khám giám định.</w:t>
      </w:r>
    </w:p>
    <w:p w:rsidR="008F7495" w:rsidRDefault="008F7495" w:rsidP="00A70B25">
      <w:bookmarkStart w:id="0" w:name="_GoBack"/>
      <w:bookmarkEnd w:id="0"/>
    </w:p>
    <w:sectPr w:rsidR="008F7495" w:rsidSect="00EA1DEF">
      <w:pgSz w:w="11907" w:h="16840" w:code="9"/>
      <w:pgMar w:top="1134" w:right="1134" w:bottom="1134" w:left="170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038E6"/>
    <w:multiLevelType w:val="hybridMultilevel"/>
    <w:tmpl w:val="D7B2471A"/>
    <w:lvl w:ilvl="0" w:tplc="4CAAAF72">
      <w:start w:val="1"/>
      <w:numFmt w:val="decimal"/>
      <w:pStyle w:val="Heading2"/>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42B3AA4"/>
    <w:multiLevelType w:val="hybridMultilevel"/>
    <w:tmpl w:val="C22A396C"/>
    <w:lvl w:ilvl="0" w:tplc="13B8FC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460267D"/>
    <w:multiLevelType w:val="multilevel"/>
    <w:tmpl w:val="DD64C5B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58463D28"/>
    <w:multiLevelType w:val="multilevel"/>
    <w:tmpl w:val="2E3873DC"/>
    <w:lvl w:ilvl="0">
      <w:start w:val="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numFmt w:val="none"/>
      <w:lvlText w:val=""/>
      <w:lvlJc w:val="left"/>
      <w:pPr>
        <w:tabs>
          <w:tab w:val="num" w:pos="360"/>
        </w:tabs>
      </w:pPr>
    </w:lvl>
    <w:lvl w:ilvl="5">
      <w:start w:val="1"/>
      <w:numFmt w:val="decimal"/>
      <w:lvlText w:val="%1.%2.%3.%4.%5.%6"/>
      <w:lvlJc w:val="left"/>
      <w:pPr>
        <w:tabs>
          <w:tab w:val="num" w:pos="1080"/>
        </w:tabs>
        <w:ind w:left="1080" w:hanging="1080"/>
      </w:pPr>
    </w:lvl>
    <w:lvl w:ilvl="6">
      <w:numFmt w:val="none"/>
      <w:lvlText w:val=""/>
      <w:lvlJc w:val="left"/>
      <w:pPr>
        <w:tabs>
          <w:tab w:val="num" w:pos="360"/>
        </w:tabs>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6A4238D8"/>
    <w:multiLevelType w:val="multilevel"/>
    <w:tmpl w:val="5A027A2C"/>
    <w:lvl w:ilvl="0">
      <w:start w:val="1"/>
      <w:numFmt w:val="decimal"/>
      <w:pStyle w:val="StyleHeading1Left0cmFirstline0cm"/>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76CF3182"/>
    <w:multiLevelType w:val="hybridMultilevel"/>
    <w:tmpl w:val="F7D66246"/>
    <w:lvl w:ilvl="0" w:tplc="2222BA48">
      <w:start w:val="1"/>
      <w:numFmt w:val="bullet"/>
      <w:pStyle w:val="StyleHeading3VnTime14p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0"/>
  </w:num>
  <w:num w:numId="4">
    <w:abstractNumId w:val="0"/>
  </w:num>
  <w:num w:numId="5">
    <w:abstractNumId w:val="2"/>
  </w:num>
  <w:num w:numId="6">
    <w:abstractNumId w:val="4"/>
  </w:num>
  <w:num w:numId="7">
    <w:abstractNumId w:val="4"/>
  </w:num>
  <w:num w:numId="8">
    <w:abstractNumId w:val="2"/>
  </w:num>
  <w:num w:numId="9">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B25"/>
    <w:rsid w:val="000B754D"/>
    <w:rsid w:val="0016539C"/>
    <w:rsid w:val="00642352"/>
    <w:rsid w:val="008F7495"/>
    <w:rsid w:val="00A70B25"/>
    <w:rsid w:val="00E07C67"/>
    <w:rsid w:val="00EA1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0B25"/>
    <w:rPr>
      <w:rFonts w:eastAsia="SimSun"/>
      <w:sz w:val="28"/>
      <w:lang w:eastAsia="zh-CN"/>
    </w:rPr>
  </w:style>
  <w:style w:type="paragraph" w:styleId="Heading1">
    <w:name w:val="heading 1"/>
    <w:basedOn w:val="Normal"/>
    <w:next w:val="Normal"/>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0B25"/>
    <w:rPr>
      <w:rFonts w:eastAsia="SimSun"/>
      <w:sz w:val="28"/>
      <w:lang w:eastAsia="zh-CN"/>
    </w:rPr>
  </w:style>
  <w:style w:type="paragraph" w:styleId="Heading1">
    <w:name w:val="heading 1"/>
    <w:basedOn w:val="Normal"/>
    <w:next w:val="Normal"/>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C725D7CB0903469744630ED0A24A1A" ma:contentTypeVersion="0" ma:contentTypeDescription="Create a new document." ma:contentTypeScope="" ma:versionID="232694c0205146893cf9544101551442">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66296C-29FD-46D9-965B-C4076E720706}"/>
</file>

<file path=customXml/itemProps2.xml><?xml version="1.0" encoding="utf-8"?>
<ds:datastoreItem xmlns:ds="http://schemas.openxmlformats.org/officeDocument/2006/customXml" ds:itemID="{D8CBB448-8B43-4820-B99C-A705633D9AFB}"/>
</file>

<file path=customXml/itemProps3.xml><?xml version="1.0" encoding="utf-8"?>
<ds:datastoreItem xmlns:ds="http://schemas.openxmlformats.org/officeDocument/2006/customXml" ds:itemID="{F71BC87F-210E-4C71-848B-079E39DBFD6B}"/>
</file>

<file path=docProps/app.xml><?xml version="1.0" encoding="utf-8"?>
<Properties xmlns="http://schemas.openxmlformats.org/officeDocument/2006/extended-properties" xmlns:vt="http://schemas.openxmlformats.org/officeDocument/2006/docPropsVTypes">
  <Template>Normal.dotm</Template>
  <TotalTime>0</TotalTime>
  <Pages>4</Pages>
  <Words>727</Words>
  <Characters>4145</Characters>
  <Application>Microsoft Office Word</Application>
  <DocSecurity>0</DocSecurity>
  <Lines>34</Lines>
  <Paragraphs>9</Paragraphs>
  <ScaleCrop>false</ScaleCrop>
  <Company>Microsoft</Company>
  <LinksUpToDate>false</LinksUpToDate>
  <CharactersWithSpaces>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2016-08-16T06:46:00Z</dcterms:created>
  <dcterms:modified xsi:type="dcterms:W3CDTF">2016-08-16T06:46:00Z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0x010100E9C725D7CB0903469744630ED0A24A1A</vt:lpwstr>
  </property>
</Properties>
</file>