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547"/>
      </w:tblGrid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rPr>
                <w:b/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  <w:lang w:val="es-ES"/>
              </w:rPr>
              <w:t xml:space="preserve">2-Thủ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tục</w:t>
            </w:r>
            <w:proofErr w:type="spellEnd"/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b/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lập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và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cho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phép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lập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ngân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mô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trực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thuộc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Sở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Y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tế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và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thuộc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bệnh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viện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trực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thuộc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Sở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Y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tế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ngân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mô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tư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nhân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ngân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mô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thuộc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bệnh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viện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tư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nhân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trường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đại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học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y,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dược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tư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thục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trên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địa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bàn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quản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lý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b/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</w:rPr>
              <w:t>Trình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tự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thực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60" w:line="288" w:lineRule="auto"/>
              <w:ind w:left="957" w:hanging="957"/>
              <w:jc w:val="both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Bước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1: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Đơn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vị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gửi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hồ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sơ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đề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nghị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lập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ngân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mô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về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Sở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Y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tế</w:t>
            </w:r>
            <w:proofErr w:type="spellEnd"/>
          </w:p>
          <w:p w:rsidR="000A0665" w:rsidRPr="007B3185" w:rsidRDefault="000A0665" w:rsidP="00B0219A">
            <w:pPr>
              <w:spacing w:before="60" w:line="288" w:lineRule="auto"/>
              <w:ind w:left="957" w:hanging="957"/>
              <w:jc w:val="both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Bước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2: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Sở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Y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tế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tiếp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nhận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và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kiểm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tra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hồ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proofErr w:type="gramStart"/>
            <w:r w:rsidRPr="007B3185">
              <w:rPr>
                <w:sz w:val="26"/>
                <w:szCs w:val="26"/>
                <w:lang w:val="es-ES"/>
              </w:rPr>
              <w:t>sơ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.</w:t>
            </w:r>
            <w:proofErr w:type="gram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</w:p>
          <w:p w:rsidR="000A0665" w:rsidRPr="007B3185" w:rsidRDefault="000A0665" w:rsidP="00B0219A">
            <w:pPr>
              <w:spacing w:before="60" w:line="288" w:lineRule="auto"/>
              <w:ind w:left="957" w:hanging="957"/>
              <w:jc w:val="both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Bước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3: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Trong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thời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hạn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20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làm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việc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kể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từ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nhận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đủ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hồ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sơ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hợp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lệ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Sở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Y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tế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trình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UBND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tỉnh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phố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trực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thuộc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TW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và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trong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vòng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10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làm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việc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kể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từ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nhận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hồ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sơ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hợp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lệ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UBND 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ra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quyết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định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lập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ngân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mô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hoặc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có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văn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bản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cho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phép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lập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đối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với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ngân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mô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tư</w:t>
            </w:r>
            <w:proofErr w:type="spellEnd"/>
            <w:r w:rsidRPr="007B318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Cs/>
                <w:iCs/>
                <w:sz w:val="26"/>
                <w:szCs w:val="26"/>
                <w:lang w:val="es-ES"/>
              </w:rPr>
              <w:t>nhân</w:t>
            </w:r>
            <w:proofErr w:type="gramStart"/>
            <w:r w:rsidRPr="007B3185">
              <w:rPr>
                <w:bCs/>
                <w:iCs/>
                <w:sz w:val="26"/>
                <w:szCs w:val="26"/>
                <w:lang w:val="es-ES"/>
              </w:rPr>
              <w:t>,</w:t>
            </w:r>
            <w:r w:rsidRPr="007B3185">
              <w:rPr>
                <w:sz w:val="26"/>
                <w:szCs w:val="26"/>
                <w:lang w:val="es-ES"/>
              </w:rPr>
              <w:t>ngân</w:t>
            </w:r>
            <w:proofErr w:type="spellEnd"/>
            <w:proofErr w:type="gram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mô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thuộc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bệnh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viện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tư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nhân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trường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đại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học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y,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dược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tư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thục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.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Nếu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không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ra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quyết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định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lập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thì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phải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có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văn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bản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trả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lời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và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nêu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rõ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lý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do.</w:t>
            </w:r>
          </w:p>
          <w:p w:rsidR="000A0665" w:rsidRPr="007B3185" w:rsidRDefault="000A0665" w:rsidP="00B0219A">
            <w:pPr>
              <w:spacing w:before="120" w:after="120" w:line="288" w:lineRule="auto"/>
              <w:ind w:left="957" w:hanging="957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Bước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4: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Trả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kết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quả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cho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đơn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vị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xin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lập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ngân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mô</w:t>
            </w:r>
            <w:proofErr w:type="spellEnd"/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iCs/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</w:rPr>
              <w:t>Cách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thức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thực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120" w:after="120" w:line="288" w:lineRule="auto"/>
              <w:rPr>
                <w:sz w:val="26"/>
                <w:szCs w:val="26"/>
                <w:lang w:val="es-ES"/>
              </w:rPr>
            </w:pPr>
            <w:r w:rsidRPr="007B3185">
              <w:rPr>
                <w:sz w:val="26"/>
                <w:szCs w:val="26"/>
                <w:lang w:val="es-ES"/>
              </w:rPr>
              <w:t xml:space="preserve">Qua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bưu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điện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hoặc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nộp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trực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tiếp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iCs/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phần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số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l</w:t>
            </w:r>
            <w:r w:rsidRPr="007B3185">
              <w:rPr>
                <w:b/>
                <w:sz w:val="26"/>
                <w:szCs w:val="26"/>
                <w:lang w:val="vi-VN"/>
              </w:rPr>
              <w:t>ượ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ng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hồ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sơ</w:t>
            </w:r>
            <w:proofErr w:type="spellEnd"/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60" w:line="288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7B3185">
              <w:rPr>
                <w:b/>
                <w:i/>
                <w:sz w:val="26"/>
                <w:szCs w:val="26"/>
              </w:rPr>
              <w:t>I.</w:t>
            </w:r>
            <w:r w:rsidRPr="007B3185">
              <w:rPr>
                <w:b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B3185">
              <w:rPr>
                <w:b/>
                <w:i/>
                <w:sz w:val="26"/>
                <w:szCs w:val="26"/>
              </w:rPr>
              <w:t>Thành</w:t>
            </w:r>
            <w:proofErr w:type="spellEnd"/>
            <w:r w:rsidRPr="007B31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i/>
                <w:sz w:val="26"/>
                <w:szCs w:val="26"/>
              </w:rPr>
              <w:t>phần</w:t>
            </w:r>
            <w:proofErr w:type="spellEnd"/>
            <w:r w:rsidRPr="007B31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i/>
                <w:sz w:val="26"/>
                <w:szCs w:val="26"/>
              </w:rPr>
              <w:t>hồ</w:t>
            </w:r>
            <w:proofErr w:type="spellEnd"/>
            <w:r w:rsidRPr="007B31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i/>
                <w:sz w:val="26"/>
                <w:szCs w:val="26"/>
              </w:rPr>
              <w:t>sơ</w:t>
            </w:r>
            <w:proofErr w:type="spellEnd"/>
            <w:r w:rsidRPr="007B3185">
              <w:rPr>
                <w:b/>
                <w:i/>
                <w:sz w:val="26"/>
                <w:szCs w:val="26"/>
              </w:rPr>
              <w:t xml:space="preserve">: 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1- Văn bản đề nghị thành lập ngân hàng mô</w:t>
            </w:r>
          </w:p>
          <w:p w:rsidR="000A0665" w:rsidRPr="007B3185" w:rsidRDefault="000A0665" w:rsidP="00B0219A">
            <w:pPr>
              <w:spacing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Sự cần thiết và cơ sở pháp lý của việc thành lập ngân hàng mô;</w:t>
            </w:r>
          </w:p>
          <w:p w:rsidR="000A0665" w:rsidRPr="007B3185" w:rsidRDefault="000A0665" w:rsidP="00B0219A">
            <w:pPr>
              <w:spacing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Những nội dung chính của đề án thành lập ngân hàng mô;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 xml:space="preserve">- Những vấn đề còn có ý kiến khác nhau và những vấn đề cần xin ý kiến của cơ quan có thẩm quyền quyết định thành lập ngân hàng mô. 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 xml:space="preserve">2- Đề án thành lập ngân hàng mô, bao gồm các nội dung chính sau: 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Sự cần thiết và cơ sở pháp lý thành lập ngân hàng mô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Mục tiêu, chức năng, nhiệm vụ của ngân hàng mô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Loại hình ngân hàng mô cần thành lập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Cơ cấu tổ chức của ngân hàng mô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Các yếu tố cần thiết bảo đảm cho ngân hàng mô hoạt động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Lộ trình hoạt động</w:t>
            </w:r>
          </w:p>
          <w:p w:rsidR="000A0665" w:rsidRPr="007B3185" w:rsidRDefault="000A0665" w:rsidP="00B0219A">
            <w:pPr>
              <w:spacing w:before="80" w:after="80" w:line="288" w:lineRule="auto"/>
              <w:ind w:left="237"/>
              <w:jc w:val="both"/>
              <w:rPr>
                <w:sz w:val="26"/>
                <w:szCs w:val="26"/>
                <w:lang w:val="vi-VN"/>
              </w:rPr>
            </w:pPr>
            <w:r w:rsidRPr="007B3185">
              <w:rPr>
                <w:sz w:val="26"/>
                <w:szCs w:val="26"/>
                <w:lang w:val="vi-VN"/>
              </w:rPr>
              <w:t>- Kiến nghị ( nếu có) .</w:t>
            </w:r>
          </w:p>
          <w:p w:rsidR="000A0665" w:rsidRPr="007B3185" w:rsidRDefault="000A0665" w:rsidP="00B0219A">
            <w:pPr>
              <w:spacing w:before="120" w:after="120" w:line="288" w:lineRule="auto"/>
              <w:rPr>
                <w:sz w:val="26"/>
                <w:szCs w:val="26"/>
                <w:lang w:val="vi-VN"/>
              </w:rPr>
            </w:pPr>
            <w:r w:rsidRPr="007B3185">
              <w:rPr>
                <w:b/>
                <w:i/>
                <w:sz w:val="26"/>
                <w:szCs w:val="26"/>
                <w:lang w:val="vi-VN"/>
              </w:rPr>
              <w:lastRenderedPageBreak/>
              <w:t xml:space="preserve"> </w:t>
            </w:r>
            <w:r w:rsidRPr="007B3185">
              <w:rPr>
                <w:b/>
                <w:i/>
                <w:sz w:val="26"/>
                <w:szCs w:val="26"/>
              </w:rPr>
              <w:t>II.</w:t>
            </w:r>
            <w:r w:rsidRPr="007B3185">
              <w:rPr>
                <w:b/>
                <w:i/>
                <w:sz w:val="26"/>
                <w:szCs w:val="26"/>
                <w:lang w:val="vi-VN"/>
              </w:rPr>
              <w:t xml:space="preserve"> Số lượng hồ sơ: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7B3185">
              <w:rPr>
                <w:sz w:val="26"/>
                <w:szCs w:val="26"/>
                <w:lang w:val="vi-VN"/>
              </w:rPr>
              <w:t xml:space="preserve">  01 (bộ)</w:t>
            </w:r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</w:rPr>
              <w:t>Thời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hạn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giải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quyết</w:t>
            </w:r>
            <w:proofErr w:type="spellEnd"/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  <w:r w:rsidRPr="007B3185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Trong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thời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hạn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30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làm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việc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kể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từ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nhận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đủ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hồ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sơ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hợp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lệ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>.</w:t>
            </w:r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Đối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tượng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thực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hiện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thủ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tục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chính</w:t>
            </w:r>
            <w:proofErr w:type="spellEnd"/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120" w:after="120" w:line="288" w:lineRule="auto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Tổ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chức</w:t>
            </w:r>
            <w:proofErr w:type="spellEnd"/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Cơ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quan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thực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hiện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thủ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tục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chính</w:t>
            </w:r>
            <w:proofErr w:type="spellEnd"/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120" w:after="120" w:line="288" w:lineRule="auto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Sở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Y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tế</w:t>
            </w:r>
            <w:proofErr w:type="spellEnd"/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tabs>
                <w:tab w:val="right" w:pos="3012"/>
              </w:tabs>
              <w:spacing w:before="120" w:after="120" w:line="288" w:lineRule="auto"/>
              <w:ind w:left="720"/>
              <w:jc w:val="both"/>
              <w:rPr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Kết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quả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thực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hiện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thủ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tục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chính</w:t>
            </w:r>
            <w:proofErr w:type="spellEnd"/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120" w:after="120" w:line="288" w:lineRule="auto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Quyết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định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chính</w:t>
            </w:r>
            <w:proofErr w:type="spellEnd"/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sz w:val="26"/>
                <w:szCs w:val="26"/>
                <w:lang w:val="nl-NL"/>
              </w:rPr>
            </w:pPr>
            <w:r w:rsidRPr="007B3185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</w:rPr>
              <w:t>Lệ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phí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7B3185">
              <w:rPr>
                <w:b/>
                <w:sz w:val="26"/>
                <w:szCs w:val="26"/>
              </w:rPr>
              <w:t>nếu</w:t>
            </w:r>
            <w:proofErr w:type="spellEnd"/>
            <w:r w:rsidRPr="007B3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</w:rPr>
              <w:t>có</w:t>
            </w:r>
            <w:proofErr w:type="spellEnd"/>
            <w:r w:rsidRPr="007B3185">
              <w:rPr>
                <w:b/>
                <w:sz w:val="26"/>
                <w:szCs w:val="26"/>
              </w:rPr>
              <w:t>)</w:t>
            </w:r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120" w:after="120" w:line="288" w:lineRule="auto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Không</w:t>
            </w:r>
            <w:proofErr w:type="spellEnd"/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Tên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mẫu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đơn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mẫu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t</w:t>
            </w:r>
            <w:r w:rsidRPr="007B3185">
              <w:rPr>
                <w:b/>
                <w:sz w:val="26"/>
                <w:szCs w:val="26"/>
                <w:lang w:val="vi-VN"/>
              </w:rPr>
              <w:t>ờ</w:t>
            </w:r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khai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Đính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kèm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thủ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tục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này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>)</w:t>
            </w:r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pStyle w:val="Giua"/>
              <w:spacing w:line="288" w:lineRule="auto"/>
            </w:pPr>
            <w:proofErr w:type="spellStart"/>
            <w:r w:rsidRPr="007B3185">
              <w:t>Không</w:t>
            </w:r>
            <w:proofErr w:type="spellEnd"/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Yêu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cầu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điều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kiện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thực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hiện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thủ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tục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chính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nếu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có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>)</w:t>
            </w:r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spacing w:before="120" w:after="120" w:line="288" w:lineRule="auto"/>
              <w:rPr>
                <w:sz w:val="26"/>
                <w:szCs w:val="26"/>
                <w:lang w:val="es-ES"/>
              </w:rPr>
            </w:pPr>
            <w:proofErr w:type="spellStart"/>
            <w:r w:rsidRPr="007B3185">
              <w:rPr>
                <w:sz w:val="26"/>
                <w:szCs w:val="26"/>
                <w:lang w:val="es-ES"/>
              </w:rPr>
              <w:t>Không</w:t>
            </w:r>
            <w:proofErr w:type="spellEnd"/>
          </w:p>
        </w:tc>
      </w:tr>
      <w:tr w:rsidR="000A0665" w:rsidRPr="007B3185" w:rsidTr="00B0219A">
        <w:tc>
          <w:tcPr>
            <w:tcW w:w="10249" w:type="dxa"/>
            <w:gridSpan w:val="2"/>
          </w:tcPr>
          <w:p w:rsidR="000A0665" w:rsidRPr="007B3185" w:rsidRDefault="000A0665" w:rsidP="00B0219A">
            <w:pPr>
              <w:spacing w:before="120" w:after="120" w:line="288" w:lineRule="auto"/>
              <w:ind w:left="720"/>
              <w:rPr>
                <w:sz w:val="26"/>
                <w:szCs w:val="26"/>
                <w:lang w:val="es-ES"/>
              </w:rPr>
            </w:pPr>
            <w:r w:rsidRPr="007B3185">
              <w:rPr>
                <w:b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Căn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cứ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pháp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lý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của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thủ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tục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b/>
                <w:sz w:val="26"/>
                <w:szCs w:val="26"/>
                <w:lang w:val="es-ES"/>
              </w:rPr>
              <w:t>chính</w:t>
            </w:r>
            <w:proofErr w:type="spellEnd"/>
          </w:p>
        </w:tc>
      </w:tr>
      <w:tr w:rsidR="000A0665" w:rsidRPr="007B3185" w:rsidTr="00B0219A">
        <w:tc>
          <w:tcPr>
            <w:tcW w:w="1702" w:type="dxa"/>
          </w:tcPr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8547" w:type="dxa"/>
          </w:tcPr>
          <w:p w:rsidR="000A0665" w:rsidRPr="007B3185" w:rsidRDefault="000A0665" w:rsidP="00B0219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sz w:val="26"/>
                <w:szCs w:val="26"/>
                <w:lang w:val="es-ES"/>
              </w:rPr>
            </w:pPr>
            <w:r w:rsidRPr="007B3185">
              <w:rPr>
                <w:sz w:val="26"/>
                <w:szCs w:val="26"/>
                <w:lang w:val="es-ES"/>
              </w:rPr>
              <w:t xml:space="preserve">1-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Luật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hiến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lấy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ghép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mô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bộ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phận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cơ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thể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người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và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hiến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lấy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xác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29/11/2006;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có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hiệu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lực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01/7/2007</w:t>
            </w:r>
          </w:p>
          <w:p w:rsidR="000A0665" w:rsidRPr="007B3185" w:rsidRDefault="000A0665" w:rsidP="00B0219A">
            <w:pPr>
              <w:spacing w:before="80" w:after="80" w:line="288" w:lineRule="auto"/>
              <w:jc w:val="both"/>
              <w:rPr>
                <w:sz w:val="26"/>
                <w:szCs w:val="26"/>
                <w:lang w:val="es-ES"/>
              </w:rPr>
            </w:pPr>
            <w:r w:rsidRPr="007B3185">
              <w:rPr>
                <w:sz w:val="26"/>
                <w:szCs w:val="26"/>
                <w:lang w:val="es-ES"/>
              </w:rPr>
              <w:t xml:space="preserve">2-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Nghị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định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Số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56/2008/NĐ-CP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29/4/2008. </w:t>
            </w:r>
            <w:r w:rsidRPr="007B3185">
              <w:rPr>
                <w:sz w:val="26"/>
                <w:szCs w:val="26"/>
                <w:lang w:val="vi-VN"/>
              </w:rPr>
              <w:t>Quy định về tổ chức, hoạt động của ngân hàng mô và Trung tâm điều phối quốc gia về ghép bộ phận cơ thể người</w:t>
            </w:r>
            <w:r w:rsidRPr="007B3185">
              <w:rPr>
                <w:sz w:val="26"/>
                <w:szCs w:val="26"/>
                <w:lang w:val="es-ES"/>
              </w:rPr>
              <w:t xml:space="preserve">.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Có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hiệu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lực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sau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15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kể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từ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đăng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Công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báo</w:t>
            </w:r>
            <w:proofErr w:type="spellEnd"/>
          </w:p>
          <w:p w:rsidR="000A0665" w:rsidRPr="007B3185" w:rsidRDefault="000A0665" w:rsidP="00B0219A">
            <w:pPr>
              <w:spacing w:before="80" w:after="80" w:line="288" w:lineRule="auto"/>
              <w:jc w:val="both"/>
              <w:rPr>
                <w:sz w:val="26"/>
                <w:szCs w:val="26"/>
                <w:lang w:val="es-ES"/>
              </w:rPr>
            </w:pPr>
            <w:r w:rsidRPr="007B3185">
              <w:rPr>
                <w:sz w:val="26"/>
                <w:szCs w:val="26"/>
                <w:lang w:val="es-ES"/>
              </w:rPr>
              <w:t xml:space="preserve">3-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Nghị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định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83/2006/NĐ-CP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17/8/2006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quy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định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trình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tự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thủ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tục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lập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tổ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chức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lại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giải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thể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tổ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chức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chính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tổ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chức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sự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nghiệp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nhà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nước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.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Có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hiệu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lực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thi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hành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sau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15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kể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từ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đăng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Công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báo</w:t>
            </w:r>
            <w:proofErr w:type="spellEnd"/>
          </w:p>
          <w:p w:rsidR="000A0665" w:rsidRPr="007B3185" w:rsidRDefault="000A0665" w:rsidP="00B0219A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  <w:r w:rsidRPr="007B3185">
              <w:rPr>
                <w:sz w:val="26"/>
                <w:szCs w:val="26"/>
                <w:lang w:val="es-ES"/>
              </w:rPr>
              <w:t xml:space="preserve">4-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Quyết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định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03/2008/QĐ-BYT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ngày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1/2/2008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về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quy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định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điều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kiện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tổ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chức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nhân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lực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về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cơ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sở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vật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chất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trang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thiết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bị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và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hồ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sơ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thủ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tục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cấp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giấy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phép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hoạt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động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ngân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hàng</w:t>
            </w:r>
            <w:proofErr w:type="spellEnd"/>
            <w:r w:rsidRPr="007B31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B3185">
              <w:rPr>
                <w:sz w:val="26"/>
                <w:szCs w:val="26"/>
                <w:lang w:val="es-ES"/>
              </w:rPr>
              <w:t>mô</w:t>
            </w:r>
            <w:proofErr w:type="spellEnd"/>
          </w:p>
        </w:tc>
      </w:tr>
    </w:tbl>
    <w:p w:rsidR="008F7495" w:rsidRDefault="008F7495" w:rsidP="000A0665">
      <w:pPr>
        <w:ind w:left="360" w:hanging="360"/>
      </w:pPr>
      <w:bookmarkStart w:id="0" w:name="_GoBack"/>
      <w:bookmarkEnd w:id="0"/>
    </w:p>
    <w:sectPr w:rsidR="008F7495" w:rsidSect="00EA1DEF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38E6"/>
    <w:multiLevelType w:val="hybridMultilevel"/>
    <w:tmpl w:val="D7B2471A"/>
    <w:lvl w:ilvl="0" w:tplc="4CAAAF72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B3AA4"/>
    <w:multiLevelType w:val="hybridMultilevel"/>
    <w:tmpl w:val="C22A396C"/>
    <w:lvl w:ilvl="0" w:tplc="13B8F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0267D"/>
    <w:multiLevelType w:val="multilevel"/>
    <w:tmpl w:val="DD64C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8463D28"/>
    <w:multiLevelType w:val="multilevel"/>
    <w:tmpl w:val="2E3873D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A4238D8"/>
    <w:multiLevelType w:val="multilevel"/>
    <w:tmpl w:val="5A027A2C"/>
    <w:lvl w:ilvl="0">
      <w:start w:val="1"/>
      <w:numFmt w:val="decimal"/>
      <w:pStyle w:val="StyleHeading1Left0cmFirstline0c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6CF3182"/>
    <w:multiLevelType w:val="hybridMultilevel"/>
    <w:tmpl w:val="F7D66246"/>
    <w:lvl w:ilvl="0" w:tplc="2222BA48">
      <w:start w:val="1"/>
      <w:numFmt w:val="bullet"/>
      <w:pStyle w:val="StyleHeading3VnTime14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65"/>
    <w:rsid w:val="000A0665"/>
    <w:rsid w:val="000B754D"/>
    <w:rsid w:val="0016539C"/>
    <w:rsid w:val="00642352"/>
    <w:rsid w:val="008F7495"/>
    <w:rsid w:val="00E07C67"/>
    <w:rsid w:val="00E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665"/>
    <w:rPr>
      <w:rFonts w:eastAsia="SimSun"/>
      <w:sz w:val="28"/>
      <w:lang w:eastAsia="zh-CN"/>
    </w:rPr>
  </w:style>
  <w:style w:type="paragraph" w:styleId="Heading1">
    <w:name w:val="heading 1"/>
    <w:basedOn w:val="Normal"/>
    <w:next w:val="Normal"/>
    <w:autoRedefine/>
    <w:qFormat/>
    <w:rsid w:val="00642352"/>
    <w:pPr>
      <w:keepNext/>
      <w:spacing w:before="240" w:after="60"/>
      <w:outlineLvl w:val="0"/>
    </w:pPr>
    <w:rPr>
      <w:b/>
      <w:bCs/>
      <w:kern w:val="32"/>
      <w:szCs w:val="28"/>
    </w:rPr>
  </w:style>
  <w:style w:type="paragraph" w:styleId="Heading2">
    <w:name w:val="heading 2"/>
    <w:basedOn w:val="Normal"/>
    <w:next w:val="Normal"/>
    <w:autoRedefine/>
    <w:qFormat/>
    <w:rsid w:val="00642352"/>
    <w:pPr>
      <w:keepNext/>
      <w:numPr>
        <w:numId w:val="4"/>
      </w:numPr>
      <w:spacing w:before="240" w:after="60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autoRedefine/>
    <w:qFormat/>
    <w:rsid w:val="00642352"/>
    <w:pPr>
      <w:spacing w:before="150" w:after="150"/>
      <w:outlineLvl w:val="2"/>
    </w:pPr>
    <w:rPr>
      <w:bCs/>
      <w:color w:val="333333"/>
      <w:szCs w:val="36"/>
    </w:rPr>
  </w:style>
  <w:style w:type="paragraph" w:styleId="Heading4">
    <w:name w:val="heading 4"/>
    <w:basedOn w:val="Normal"/>
    <w:next w:val="Normal"/>
    <w:qFormat/>
    <w:rsid w:val="00642352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VnTime14pt">
    <w:name w:val="Style Heading 3 + .VnTime 14 pt"/>
    <w:basedOn w:val="Heading3"/>
    <w:autoRedefine/>
    <w:rsid w:val="00642352"/>
    <w:pPr>
      <w:numPr>
        <w:numId w:val="2"/>
      </w:numPr>
    </w:pPr>
    <w:rPr>
      <w:rFonts w:ascii=".VnTime" w:hAnsi=".VnTime"/>
    </w:rPr>
  </w:style>
  <w:style w:type="paragraph" w:customStyle="1" w:styleId="StyleHeading3VnTime14pt1">
    <w:name w:val="Style Heading 3 + .VnTime 14 pt1"/>
    <w:basedOn w:val="Heading1"/>
    <w:autoRedefine/>
    <w:rsid w:val="00642352"/>
    <w:rPr>
      <w:rFonts w:ascii=".VnTime" w:hAnsi=".VnTime"/>
    </w:rPr>
  </w:style>
  <w:style w:type="paragraph" w:customStyle="1" w:styleId="StyleHeading114pt">
    <w:name w:val="Style Heading 1 + 14 pt"/>
    <w:basedOn w:val="Heading1"/>
    <w:autoRedefine/>
    <w:rsid w:val="00642352"/>
    <w:rPr>
      <w:rFonts w:ascii=".VnTime" w:hAnsi=".VnTime"/>
    </w:rPr>
  </w:style>
  <w:style w:type="paragraph" w:customStyle="1" w:styleId="Style2">
    <w:name w:val="Style2"/>
    <w:basedOn w:val="Heading4"/>
    <w:autoRedefine/>
    <w:rsid w:val="00642352"/>
  </w:style>
  <w:style w:type="paragraph" w:customStyle="1" w:styleId="Style3">
    <w:name w:val="Style3"/>
    <w:basedOn w:val="Heading4"/>
    <w:autoRedefine/>
    <w:rsid w:val="00642352"/>
    <w:pPr>
      <w:spacing w:line="360" w:lineRule="auto"/>
      <w:ind w:firstLine="720"/>
      <w:jc w:val="both"/>
    </w:pPr>
  </w:style>
  <w:style w:type="paragraph" w:customStyle="1" w:styleId="StyleHeading1Left0cmFirstline0cm">
    <w:name w:val="Style Heading 1 + Left:  0 cm First line:  0 cm"/>
    <w:basedOn w:val="Heading1"/>
    <w:autoRedefine/>
    <w:rsid w:val="00642352"/>
    <w:pPr>
      <w:numPr>
        <w:numId w:val="7"/>
      </w:numPr>
    </w:pPr>
    <w:rPr>
      <w:szCs w:val="20"/>
    </w:rPr>
  </w:style>
  <w:style w:type="paragraph" w:customStyle="1" w:styleId="Style1">
    <w:name w:val="Style1"/>
    <w:basedOn w:val="Normal"/>
    <w:next w:val="Normal"/>
    <w:link w:val="Style1Char"/>
    <w:rsid w:val="000B754D"/>
    <w:pPr>
      <w:tabs>
        <w:tab w:val="num" w:pos="360"/>
      </w:tabs>
      <w:ind w:left="360" w:hanging="360"/>
    </w:pPr>
  </w:style>
  <w:style w:type="character" w:customStyle="1" w:styleId="Style1Char">
    <w:name w:val="Style1 Char"/>
    <w:basedOn w:val="DefaultParagraphFont"/>
    <w:link w:val="Style1"/>
    <w:rsid w:val="000B754D"/>
    <w:rPr>
      <w:sz w:val="28"/>
      <w:szCs w:val="24"/>
    </w:rPr>
  </w:style>
  <w:style w:type="paragraph" w:customStyle="1" w:styleId="Giua">
    <w:name w:val="Giua"/>
    <w:basedOn w:val="Normal"/>
    <w:autoRedefine/>
    <w:rsid w:val="000A0665"/>
    <w:pPr>
      <w:spacing w:before="120" w:after="120"/>
      <w:jc w:val="both"/>
    </w:pPr>
    <w:rPr>
      <w:rFonts w:eastAsia="Times New Roman"/>
      <w:bCs/>
      <w:sz w:val="26"/>
      <w:szCs w:val="2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665"/>
    <w:rPr>
      <w:rFonts w:eastAsia="SimSun"/>
      <w:sz w:val="28"/>
      <w:lang w:eastAsia="zh-CN"/>
    </w:rPr>
  </w:style>
  <w:style w:type="paragraph" w:styleId="Heading1">
    <w:name w:val="heading 1"/>
    <w:basedOn w:val="Normal"/>
    <w:next w:val="Normal"/>
    <w:autoRedefine/>
    <w:qFormat/>
    <w:rsid w:val="00642352"/>
    <w:pPr>
      <w:keepNext/>
      <w:spacing w:before="240" w:after="60"/>
      <w:outlineLvl w:val="0"/>
    </w:pPr>
    <w:rPr>
      <w:b/>
      <w:bCs/>
      <w:kern w:val="32"/>
      <w:szCs w:val="28"/>
    </w:rPr>
  </w:style>
  <w:style w:type="paragraph" w:styleId="Heading2">
    <w:name w:val="heading 2"/>
    <w:basedOn w:val="Normal"/>
    <w:next w:val="Normal"/>
    <w:autoRedefine/>
    <w:qFormat/>
    <w:rsid w:val="00642352"/>
    <w:pPr>
      <w:keepNext/>
      <w:numPr>
        <w:numId w:val="4"/>
      </w:numPr>
      <w:spacing w:before="240" w:after="60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autoRedefine/>
    <w:qFormat/>
    <w:rsid w:val="00642352"/>
    <w:pPr>
      <w:spacing w:before="150" w:after="150"/>
      <w:outlineLvl w:val="2"/>
    </w:pPr>
    <w:rPr>
      <w:bCs/>
      <w:color w:val="333333"/>
      <w:szCs w:val="36"/>
    </w:rPr>
  </w:style>
  <w:style w:type="paragraph" w:styleId="Heading4">
    <w:name w:val="heading 4"/>
    <w:basedOn w:val="Normal"/>
    <w:next w:val="Normal"/>
    <w:qFormat/>
    <w:rsid w:val="00642352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VnTime14pt">
    <w:name w:val="Style Heading 3 + .VnTime 14 pt"/>
    <w:basedOn w:val="Heading3"/>
    <w:autoRedefine/>
    <w:rsid w:val="00642352"/>
    <w:pPr>
      <w:numPr>
        <w:numId w:val="2"/>
      </w:numPr>
    </w:pPr>
    <w:rPr>
      <w:rFonts w:ascii=".VnTime" w:hAnsi=".VnTime"/>
    </w:rPr>
  </w:style>
  <w:style w:type="paragraph" w:customStyle="1" w:styleId="StyleHeading3VnTime14pt1">
    <w:name w:val="Style Heading 3 + .VnTime 14 pt1"/>
    <w:basedOn w:val="Heading1"/>
    <w:autoRedefine/>
    <w:rsid w:val="00642352"/>
    <w:rPr>
      <w:rFonts w:ascii=".VnTime" w:hAnsi=".VnTime"/>
    </w:rPr>
  </w:style>
  <w:style w:type="paragraph" w:customStyle="1" w:styleId="StyleHeading114pt">
    <w:name w:val="Style Heading 1 + 14 pt"/>
    <w:basedOn w:val="Heading1"/>
    <w:autoRedefine/>
    <w:rsid w:val="00642352"/>
    <w:rPr>
      <w:rFonts w:ascii=".VnTime" w:hAnsi=".VnTime"/>
    </w:rPr>
  </w:style>
  <w:style w:type="paragraph" w:customStyle="1" w:styleId="Style2">
    <w:name w:val="Style2"/>
    <w:basedOn w:val="Heading4"/>
    <w:autoRedefine/>
    <w:rsid w:val="00642352"/>
  </w:style>
  <w:style w:type="paragraph" w:customStyle="1" w:styleId="Style3">
    <w:name w:val="Style3"/>
    <w:basedOn w:val="Heading4"/>
    <w:autoRedefine/>
    <w:rsid w:val="00642352"/>
    <w:pPr>
      <w:spacing w:line="360" w:lineRule="auto"/>
      <w:ind w:firstLine="720"/>
      <w:jc w:val="both"/>
    </w:pPr>
  </w:style>
  <w:style w:type="paragraph" w:customStyle="1" w:styleId="StyleHeading1Left0cmFirstline0cm">
    <w:name w:val="Style Heading 1 + Left:  0 cm First line:  0 cm"/>
    <w:basedOn w:val="Heading1"/>
    <w:autoRedefine/>
    <w:rsid w:val="00642352"/>
    <w:pPr>
      <w:numPr>
        <w:numId w:val="7"/>
      </w:numPr>
    </w:pPr>
    <w:rPr>
      <w:szCs w:val="20"/>
    </w:rPr>
  </w:style>
  <w:style w:type="paragraph" w:customStyle="1" w:styleId="Style1">
    <w:name w:val="Style1"/>
    <w:basedOn w:val="Normal"/>
    <w:next w:val="Normal"/>
    <w:link w:val="Style1Char"/>
    <w:rsid w:val="000B754D"/>
    <w:pPr>
      <w:tabs>
        <w:tab w:val="num" w:pos="360"/>
      </w:tabs>
      <w:ind w:left="360" w:hanging="360"/>
    </w:pPr>
  </w:style>
  <w:style w:type="character" w:customStyle="1" w:styleId="Style1Char">
    <w:name w:val="Style1 Char"/>
    <w:basedOn w:val="DefaultParagraphFont"/>
    <w:link w:val="Style1"/>
    <w:rsid w:val="000B754D"/>
    <w:rPr>
      <w:sz w:val="28"/>
      <w:szCs w:val="24"/>
    </w:rPr>
  </w:style>
  <w:style w:type="paragraph" w:customStyle="1" w:styleId="Giua">
    <w:name w:val="Giua"/>
    <w:basedOn w:val="Normal"/>
    <w:autoRedefine/>
    <w:rsid w:val="000A0665"/>
    <w:pPr>
      <w:spacing w:before="120" w:after="120"/>
      <w:jc w:val="both"/>
    </w:pPr>
    <w:rPr>
      <w:rFonts w:eastAsia="Times New Roman"/>
      <w:bCs/>
      <w:sz w:val="26"/>
      <w:szCs w:val="2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725D7CB0903469744630ED0A24A1A" ma:contentTypeVersion="0" ma:contentTypeDescription="Create a new document." ma:contentTypeScope="" ma:versionID="232694c0205146893cf95441015514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0D21B-20FE-44C8-89B4-738A82406B83}"/>
</file>

<file path=customXml/itemProps2.xml><?xml version="1.0" encoding="utf-8"?>
<ds:datastoreItem xmlns:ds="http://schemas.openxmlformats.org/officeDocument/2006/customXml" ds:itemID="{6508F41F-9445-40F0-ADF9-321417CD0C3C}"/>
</file>

<file path=customXml/itemProps3.xml><?xml version="1.0" encoding="utf-8"?>
<ds:datastoreItem xmlns:ds="http://schemas.openxmlformats.org/officeDocument/2006/customXml" ds:itemID="{46E1263D-CAAC-4ACB-A572-06886C7E7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2016-04-13T08:58:00Z</dcterms:created>
  <dcterms:modified xsi:type="dcterms:W3CDTF">2016-04-13T08:58:00Z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0x010100E9C725D7CB0903469744630ED0A24A1A</vt:lpwstr>
  </property>
</Properties>
</file>