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AE" w:rsidRPr="002F4A80" w:rsidRDefault="002E16AE" w:rsidP="002E16AE">
      <w:pPr>
        <w:shd w:val="clear" w:color="auto" w:fill="FFFFFF"/>
        <w:spacing w:before="120" w:after="150" w:line="300" w:lineRule="atLeast"/>
        <w:rPr>
          <w:rFonts w:ascii="Arial" w:eastAsia="Times New Roman" w:hAnsi="Arial" w:cs="Arial"/>
          <w:color w:val="333333"/>
          <w:sz w:val="21"/>
          <w:szCs w:val="21"/>
          <w:lang w:val="vi-VN" w:eastAsia="en-US"/>
        </w:rPr>
      </w:pPr>
    </w:p>
    <w:tbl>
      <w:tblPr>
        <w:tblW w:w="9385" w:type="dxa"/>
        <w:shd w:val="clear" w:color="auto" w:fill="FFFFFF"/>
        <w:tblCellMar>
          <w:left w:w="0" w:type="dxa"/>
          <w:right w:w="0" w:type="dxa"/>
        </w:tblCellMar>
        <w:tblLook w:val="04A0" w:firstRow="1" w:lastRow="0" w:firstColumn="1" w:lastColumn="0" w:noHBand="0" w:noVBand="1"/>
      </w:tblPr>
      <w:tblGrid>
        <w:gridCol w:w="1480"/>
        <w:gridCol w:w="7905"/>
      </w:tblGrid>
      <w:tr w:rsidR="002E16AE" w:rsidRPr="009B0C9C"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Thủ tục 2</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Đ</w:t>
            </w:r>
            <w:r w:rsidRPr="009B0C9C">
              <w:rPr>
                <w:rFonts w:eastAsia="Times New Roman"/>
                <w:b/>
                <w:bCs/>
                <w:color w:val="333333"/>
                <w:sz w:val="26"/>
                <w:szCs w:val="26"/>
                <w:lang w:eastAsia="en-US"/>
              </w:rPr>
              <w:t>ề</w:t>
            </w:r>
            <w:r w:rsidRPr="009B0C9C">
              <w:rPr>
                <w:rFonts w:eastAsia="Times New Roman"/>
                <w:b/>
                <w:bCs/>
                <w:color w:val="333333"/>
                <w:sz w:val="26"/>
                <w:szCs w:val="26"/>
                <w:lang w:val="vi-VN" w:eastAsia="en-US"/>
              </w:rPr>
              <w:t> nghị miễn nhiệm giám định viên pháp </w:t>
            </w:r>
            <w:r w:rsidRPr="009B0C9C">
              <w:rPr>
                <w:rFonts w:eastAsia="Times New Roman"/>
                <w:b/>
                <w:bCs/>
                <w:color w:val="333333"/>
                <w:sz w:val="26"/>
                <w:szCs w:val="26"/>
                <w:lang w:eastAsia="en-US"/>
              </w:rPr>
              <w:t>y</w:t>
            </w:r>
            <w:r w:rsidRPr="009B0C9C">
              <w:rPr>
                <w:rFonts w:eastAsia="Times New Roman"/>
                <w:b/>
                <w:bCs/>
                <w:color w:val="333333"/>
                <w:sz w:val="26"/>
                <w:szCs w:val="26"/>
                <w:lang w:val="vi-VN" w:eastAsia="en-US"/>
              </w:rPr>
              <w:t xml:space="preserve"> và giám định viên pháp y tâm thần thuộc thẩm quyền của Sở Y tế </w:t>
            </w:r>
          </w:p>
        </w:tc>
      </w:tr>
      <w:tr w:rsidR="002E16AE" w:rsidRPr="009B0C9C" w:rsidTr="00917238">
        <w:tc>
          <w:tcPr>
            <w:tcW w:w="938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Trình tự thực hiện</w:t>
            </w:r>
          </w:p>
        </w:tc>
      </w:tr>
      <w:tr w:rsidR="002E16AE" w:rsidRPr="002F4A80"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Bước 1:</w:t>
            </w:r>
            <w:r w:rsidRPr="009B0C9C">
              <w:rPr>
                <w:rFonts w:eastAsia="Times New Roman"/>
                <w:color w:val="333333"/>
                <w:sz w:val="26"/>
                <w:szCs w:val="26"/>
                <w:lang w:val="vi-VN" w:eastAsia="en-US"/>
              </w:rPr>
              <w:t> Tổ chức đề nghị miễn nhiệm giám định viên pháp y và giám định viên pháp y tâm thần nộp hồ sơ về Sở Y tế.</w:t>
            </w:r>
          </w:p>
          <w:p w:rsidR="002E16AE" w:rsidRPr="002F4A80" w:rsidRDefault="002E16AE" w:rsidP="00917238">
            <w:pPr>
              <w:spacing w:before="120" w:after="150" w:line="300" w:lineRule="atLeast"/>
              <w:rPr>
                <w:rFonts w:eastAsia="Times New Roman"/>
                <w:color w:val="333333"/>
                <w:sz w:val="26"/>
                <w:szCs w:val="26"/>
                <w:lang w:val="vi-VN" w:eastAsia="en-US"/>
              </w:rPr>
            </w:pPr>
            <w:r w:rsidRPr="009B0C9C">
              <w:rPr>
                <w:rFonts w:eastAsia="Times New Roman"/>
                <w:b/>
                <w:bCs/>
                <w:color w:val="333333"/>
                <w:sz w:val="26"/>
                <w:szCs w:val="26"/>
                <w:lang w:val="vi-VN" w:eastAsia="en-US"/>
              </w:rPr>
              <w:t>B</w:t>
            </w:r>
            <w:proofErr w:type="spellStart"/>
            <w:r w:rsidRPr="009B0C9C">
              <w:rPr>
                <w:rFonts w:eastAsia="Times New Roman"/>
                <w:b/>
                <w:bCs/>
                <w:color w:val="333333"/>
                <w:sz w:val="26"/>
                <w:szCs w:val="26"/>
                <w:lang w:eastAsia="en-US"/>
              </w:rPr>
              <w:t>ước</w:t>
            </w:r>
            <w:proofErr w:type="spellEnd"/>
            <w:r w:rsidRPr="009B0C9C">
              <w:rPr>
                <w:rFonts w:eastAsia="Times New Roman"/>
                <w:b/>
                <w:bCs/>
                <w:color w:val="333333"/>
                <w:sz w:val="26"/>
                <w:szCs w:val="26"/>
                <w:lang w:val="vi-VN" w:eastAsia="en-US"/>
              </w:rPr>
              <w:t> 2:</w:t>
            </w:r>
            <w:r w:rsidRPr="009B0C9C">
              <w:rPr>
                <w:rFonts w:eastAsia="Times New Roman"/>
                <w:color w:val="333333"/>
                <w:sz w:val="26"/>
                <w:szCs w:val="26"/>
                <w:lang w:val="vi-VN" w:eastAsia="en-US"/>
              </w:rPr>
              <w:t> Sở Y tế nhận hồ sơ và kiểm tra tính hợp lệ của hồ sơ. Trường hợp hồ sơ chưa đầy đủ, hợp lệ thì phải có văn bản hướng dẫn tổ chức hoàn chỉnh hồ sơ.</w:t>
            </w:r>
          </w:p>
          <w:p w:rsidR="002E16AE" w:rsidRPr="002F4A80" w:rsidRDefault="002E16AE" w:rsidP="00917238">
            <w:pPr>
              <w:spacing w:before="120" w:after="150" w:line="300" w:lineRule="atLeast"/>
              <w:rPr>
                <w:rFonts w:eastAsia="Times New Roman"/>
                <w:color w:val="333333"/>
                <w:sz w:val="26"/>
                <w:szCs w:val="26"/>
                <w:lang w:val="vi-VN" w:eastAsia="en-US"/>
              </w:rPr>
            </w:pPr>
            <w:r w:rsidRPr="009B0C9C">
              <w:rPr>
                <w:rFonts w:eastAsia="Times New Roman"/>
                <w:b/>
                <w:bCs/>
                <w:color w:val="333333"/>
                <w:sz w:val="26"/>
                <w:szCs w:val="26"/>
                <w:lang w:val="vi-VN" w:eastAsia="en-US"/>
              </w:rPr>
              <w:t>Bước 3:</w:t>
            </w:r>
            <w:r w:rsidRPr="009B0C9C">
              <w:rPr>
                <w:rFonts w:eastAsia="Times New Roman"/>
                <w:color w:val="333333"/>
                <w:sz w:val="26"/>
                <w:szCs w:val="26"/>
                <w:lang w:val="vi-VN" w:eastAsia="en-US"/>
              </w:rPr>
              <w:t> Trong thời hạn 10 ngày làm việc kể từ ngày nhận đủ hồ sơ hợp lệ, Sở Y tế phối hợp với Sở Tư pháp thẩm định hồ sơ Chủ tịch UBND xem xét, quyết định miễn nhiệm giám định viên pháp y, giám định viên pháp y tâm thần.</w:t>
            </w:r>
          </w:p>
        </w:tc>
      </w:tr>
      <w:tr w:rsidR="002E16AE" w:rsidRPr="009B0C9C" w:rsidTr="00917238">
        <w:tc>
          <w:tcPr>
            <w:tcW w:w="938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Cách thức thực hiện</w:t>
            </w:r>
          </w:p>
        </w:tc>
      </w:tr>
      <w:tr w:rsidR="002E16AE" w:rsidRPr="009B0C9C"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Gửi qua đường bưu điện hoặc nộp trực tiếp tại S</w:t>
            </w:r>
            <w:r w:rsidRPr="009B0C9C">
              <w:rPr>
                <w:rFonts w:eastAsia="Times New Roman"/>
                <w:color w:val="333333"/>
                <w:sz w:val="26"/>
                <w:szCs w:val="26"/>
                <w:lang w:eastAsia="en-US"/>
              </w:rPr>
              <w:t>ở</w:t>
            </w:r>
            <w:r w:rsidRPr="009B0C9C">
              <w:rPr>
                <w:rFonts w:eastAsia="Times New Roman"/>
                <w:color w:val="333333"/>
                <w:sz w:val="26"/>
                <w:szCs w:val="26"/>
                <w:lang w:val="vi-VN" w:eastAsia="en-US"/>
              </w:rPr>
              <w:t> Y tế</w:t>
            </w:r>
          </w:p>
        </w:tc>
      </w:tr>
      <w:tr w:rsidR="002E16AE" w:rsidRPr="009B0C9C" w:rsidTr="00917238">
        <w:tc>
          <w:tcPr>
            <w:tcW w:w="938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Thành phần, số lượng hồ sơ</w:t>
            </w:r>
          </w:p>
        </w:tc>
      </w:tr>
      <w:tr w:rsidR="002E16AE" w:rsidRPr="009B0C9C"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i/>
                <w:iCs/>
                <w:color w:val="333333"/>
                <w:sz w:val="26"/>
                <w:szCs w:val="26"/>
                <w:lang w:val="vi-VN" w:eastAsia="en-US"/>
              </w:rPr>
              <w:t>I. Thành ph</w:t>
            </w:r>
            <w:r w:rsidRPr="009B0C9C">
              <w:rPr>
                <w:rFonts w:eastAsia="Times New Roman"/>
                <w:b/>
                <w:bCs/>
                <w:i/>
                <w:iCs/>
                <w:color w:val="333333"/>
                <w:sz w:val="26"/>
                <w:szCs w:val="26"/>
                <w:lang w:eastAsia="en-US"/>
              </w:rPr>
              <w:t>ầ</w:t>
            </w:r>
            <w:r w:rsidRPr="009B0C9C">
              <w:rPr>
                <w:rFonts w:eastAsia="Times New Roman"/>
                <w:b/>
                <w:bCs/>
                <w:i/>
                <w:iCs/>
                <w:color w:val="333333"/>
                <w:sz w:val="26"/>
                <w:szCs w:val="26"/>
                <w:lang w:val="vi-VN" w:eastAsia="en-US"/>
              </w:rPr>
              <w:t>n hồ sơ, bao gồm:</w:t>
            </w:r>
          </w:p>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eastAsia="en-US"/>
              </w:rPr>
              <w:t>1. </w:t>
            </w:r>
            <w:r w:rsidRPr="009B0C9C">
              <w:rPr>
                <w:rFonts w:eastAsia="Times New Roman"/>
                <w:color w:val="333333"/>
                <w:sz w:val="26"/>
                <w:szCs w:val="26"/>
                <w:lang w:val="vi-VN" w:eastAsia="en-US"/>
              </w:rPr>
              <w:t>Văn bản đề nghị miễn nhiệm giám định viên tư pháp của cơ quan tổ chức đã đề nghị bổ nhiệm người đó;</w:t>
            </w:r>
          </w:p>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eastAsia="en-US"/>
              </w:rPr>
              <w:t>2. </w:t>
            </w:r>
            <w:r w:rsidRPr="009B0C9C">
              <w:rPr>
                <w:rFonts w:eastAsia="Times New Roman"/>
                <w:color w:val="333333"/>
                <w:sz w:val="26"/>
                <w:szCs w:val="26"/>
                <w:lang w:val="vi-VN" w:eastAsia="en-US"/>
              </w:rPr>
              <w:t>Văn bản giấy tờ chứng minh giám định viên tư pháp thuộc một trong các trường hợp quy định tại khoản 1 Điều 10 Luật Giám định Tư pháp.</w:t>
            </w:r>
          </w:p>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i/>
                <w:iCs/>
                <w:color w:val="333333"/>
                <w:sz w:val="26"/>
                <w:szCs w:val="26"/>
                <w:lang w:val="vi-VN" w:eastAsia="en-US"/>
              </w:rPr>
              <w:t>II. Số lượng hồ sơ:</w:t>
            </w:r>
            <w:r w:rsidRPr="009B0C9C">
              <w:rPr>
                <w:rFonts w:eastAsia="Times New Roman"/>
                <w:color w:val="333333"/>
                <w:sz w:val="26"/>
                <w:szCs w:val="26"/>
                <w:lang w:val="vi-VN" w:eastAsia="en-US"/>
              </w:rPr>
              <w:t> 02 bộ.</w:t>
            </w:r>
          </w:p>
        </w:tc>
      </w:tr>
      <w:tr w:rsidR="002E16AE" w:rsidRPr="009B0C9C" w:rsidTr="00917238">
        <w:tc>
          <w:tcPr>
            <w:tcW w:w="938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Thời hạn giải quyết</w:t>
            </w:r>
          </w:p>
        </w:tc>
      </w:tr>
      <w:tr w:rsidR="002E16AE" w:rsidRPr="009B0C9C"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10 ngày làm việc kể từ ngày nhận đủ hồ sơ hợp lệ</w:t>
            </w:r>
          </w:p>
        </w:tc>
      </w:tr>
      <w:tr w:rsidR="002E16AE" w:rsidRPr="009B0C9C" w:rsidTr="00917238">
        <w:tc>
          <w:tcPr>
            <w:tcW w:w="938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Đối tượng thực hiện thủ tục hành chính</w:t>
            </w:r>
          </w:p>
        </w:tc>
      </w:tr>
      <w:tr w:rsidR="002E16AE" w:rsidRPr="009B0C9C"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Tổ chức</w:t>
            </w:r>
          </w:p>
        </w:tc>
      </w:tr>
      <w:tr w:rsidR="002E16AE" w:rsidRPr="009B0C9C" w:rsidTr="00917238">
        <w:tc>
          <w:tcPr>
            <w:tcW w:w="938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Cơ quan thực hiện thủ tục hành chính</w:t>
            </w:r>
          </w:p>
        </w:tc>
      </w:tr>
      <w:tr w:rsidR="002E16AE" w:rsidRPr="009B0C9C"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Sở Y tế</w:t>
            </w:r>
          </w:p>
        </w:tc>
      </w:tr>
      <w:tr w:rsidR="002E16AE" w:rsidRPr="009B0C9C" w:rsidTr="00917238">
        <w:tc>
          <w:tcPr>
            <w:tcW w:w="938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Kết quả thực hiện thủ tục hành chính</w:t>
            </w:r>
          </w:p>
        </w:tc>
      </w:tr>
      <w:tr w:rsidR="002E16AE" w:rsidRPr="009B0C9C"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Quyết định miễn nhiệm</w:t>
            </w:r>
          </w:p>
        </w:tc>
      </w:tr>
      <w:tr w:rsidR="002E16AE" w:rsidRPr="009B0C9C" w:rsidTr="00917238">
        <w:tc>
          <w:tcPr>
            <w:tcW w:w="938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lastRenderedPageBreak/>
              <w:t>Lệ phí</w:t>
            </w:r>
          </w:p>
        </w:tc>
      </w:tr>
      <w:tr w:rsidR="002E16AE" w:rsidRPr="009B0C9C"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Không</w:t>
            </w:r>
          </w:p>
        </w:tc>
      </w:tr>
      <w:tr w:rsidR="002E16AE" w:rsidRPr="009B0C9C" w:rsidTr="00917238">
        <w:tc>
          <w:tcPr>
            <w:tcW w:w="938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Tên mẫu đơn, mẫu tờ khai (Đính kèm ngay sau thủ tục này)</w:t>
            </w:r>
          </w:p>
        </w:tc>
      </w:tr>
      <w:tr w:rsidR="002E16AE" w:rsidRPr="009B0C9C" w:rsidTr="00917238">
        <w:tc>
          <w:tcPr>
            <w:tcW w:w="14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Không</w:t>
            </w:r>
          </w:p>
        </w:tc>
      </w:tr>
      <w:tr w:rsidR="002E16AE" w:rsidRPr="009B0C9C" w:rsidTr="00917238">
        <w:tc>
          <w:tcPr>
            <w:tcW w:w="938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Yêu cầu, điều kiện thủ tục hành chính</w:t>
            </w:r>
          </w:p>
        </w:tc>
      </w:tr>
      <w:tr w:rsidR="002E16AE" w:rsidRPr="009B0C9C" w:rsidTr="00917238">
        <w:tc>
          <w:tcPr>
            <w:tcW w:w="148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eastAsia="en-US"/>
              </w:rPr>
              <w:t> </w:t>
            </w:r>
          </w:p>
        </w:tc>
        <w:tc>
          <w:tcPr>
            <w:tcW w:w="7905" w:type="dxa"/>
            <w:tcBorders>
              <w:top w:val="nil"/>
              <w:left w:val="nil"/>
              <w:bottom w:val="single" w:sz="8" w:space="0" w:color="auto"/>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Giám định viên tư pháp thuộc một trong các trường hợp quy định tại khoản 1 Điều 10 Luật Giám định Tư pháp.</w:t>
            </w:r>
          </w:p>
        </w:tc>
      </w:tr>
      <w:tr w:rsidR="002E16AE" w:rsidRPr="009B0C9C" w:rsidTr="00917238">
        <w:tc>
          <w:tcPr>
            <w:tcW w:w="9385" w:type="dxa"/>
            <w:gridSpan w:val="2"/>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b/>
                <w:bCs/>
                <w:color w:val="333333"/>
                <w:sz w:val="26"/>
                <w:szCs w:val="26"/>
                <w:lang w:val="vi-VN" w:eastAsia="en-US"/>
              </w:rPr>
              <w:t>Căn cứ pháp lý của thủ tục hành chính</w:t>
            </w:r>
          </w:p>
        </w:tc>
      </w:tr>
      <w:tr w:rsidR="002E16AE" w:rsidRPr="009B0C9C" w:rsidTr="00917238">
        <w:tc>
          <w:tcPr>
            <w:tcW w:w="148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 </w:t>
            </w:r>
          </w:p>
        </w:tc>
        <w:tc>
          <w:tcPr>
            <w:tcW w:w="7905" w:type="dxa"/>
            <w:tcBorders>
              <w:top w:val="nil"/>
              <w:left w:val="nil"/>
              <w:bottom w:val="single" w:sz="8" w:space="0" w:color="auto"/>
              <w:right w:val="single" w:sz="8" w:space="0" w:color="auto"/>
            </w:tcBorders>
            <w:shd w:val="clear" w:color="auto" w:fill="FFFFFF"/>
            <w:tcMar>
              <w:top w:w="0" w:type="dxa"/>
              <w:left w:w="29" w:type="dxa"/>
              <w:bottom w:w="0" w:type="dxa"/>
              <w:right w:w="29" w:type="dxa"/>
            </w:tcMar>
          </w:tcPr>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val="vi-VN" w:eastAsia="en-US"/>
              </w:rPr>
              <w:t>1. Luật giám định </w:t>
            </w:r>
            <w:r w:rsidRPr="009B0C9C">
              <w:rPr>
                <w:rFonts w:eastAsia="Times New Roman"/>
                <w:color w:val="333333"/>
                <w:sz w:val="26"/>
                <w:szCs w:val="26"/>
                <w:lang w:eastAsia="en-US"/>
              </w:rPr>
              <w:t>t</w:t>
            </w:r>
            <w:r w:rsidRPr="009B0C9C">
              <w:rPr>
                <w:rFonts w:eastAsia="Times New Roman"/>
                <w:color w:val="333333"/>
                <w:sz w:val="26"/>
                <w:szCs w:val="26"/>
                <w:lang w:val="vi-VN" w:eastAsia="en-US"/>
              </w:rPr>
              <w:t>ư pháp số 13/2012/QH13 ngày 20 tháng 6 năm 2012;</w:t>
            </w:r>
          </w:p>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eastAsia="en-US"/>
              </w:rPr>
              <w:t>2. </w:t>
            </w:r>
            <w:r w:rsidRPr="009B0C9C">
              <w:rPr>
                <w:rFonts w:eastAsia="Times New Roman"/>
                <w:color w:val="333333"/>
                <w:sz w:val="26"/>
                <w:szCs w:val="26"/>
                <w:lang w:val="vi-VN" w:eastAsia="en-US"/>
              </w:rPr>
              <w:t>Căn cứ Nghị định số 85/2013/NĐ-CP ngày 29 tháng 7 năm 2013 của Chính phủ quy định chi tiết và biện pháp thi hành Luật giám định tư pháp;</w:t>
            </w:r>
          </w:p>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eastAsia="en-US"/>
              </w:rPr>
              <w:t>3. </w:t>
            </w:r>
            <w:r w:rsidRPr="009B0C9C">
              <w:rPr>
                <w:rFonts w:eastAsia="Times New Roman"/>
                <w:color w:val="333333"/>
                <w:sz w:val="26"/>
                <w:szCs w:val="26"/>
                <w:lang w:val="vi-VN" w:eastAsia="en-US"/>
              </w:rPr>
              <w:t>Nghị định số 63/2012/NĐ-CP ngày 31 tháng 8 năm 2012 của Chính phủ quy định chức năng, nhiệm vụ, quyền hạn và cơ cấu tổ chức của Bộ Y tế;</w:t>
            </w:r>
          </w:p>
          <w:p w:rsidR="002E16AE" w:rsidRPr="009B0C9C" w:rsidRDefault="002E16AE" w:rsidP="00917238">
            <w:pPr>
              <w:spacing w:before="120" w:after="150" w:line="300" w:lineRule="atLeast"/>
              <w:rPr>
                <w:rFonts w:eastAsia="Times New Roman"/>
                <w:color w:val="333333"/>
                <w:sz w:val="26"/>
                <w:szCs w:val="26"/>
                <w:lang w:eastAsia="en-US"/>
              </w:rPr>
            </w:pPr>
            <w:r w:rsidRPr="009B0C9C">
              <w:rPr>
                <w:rFonts w:eastAsia="Times New Roman"/>
                <w:color w:val="333333"/>
                <w:sz w:val="26"/>
                <w:szCs w:val="26"/>
                <w:lang w:eastAsia="en-US"/>
              </w:rPr>
              <w:t>4. </w:t>
            </w:r>
            <w:r w:rsidRPr="009B0C9C">
              <w:rPr>
                <w:rFonts w:eastAsia="Times New Roman"/>
                <w:color w:val="333333"/>
                <w:sz w:val="26"/>
                <w:szCs w:val="26"/>
                <w:lang w:val="vi-VN" w:eastAsia="en-US"/>
              </w:rPr>
              <w:t>Thông tư số 02/2014/TT-BYT ngày 15/01/2013 của Bộ Y tế Quy định tiêu chuẩn, hồ sơ, thủ tục bổ nhiệm, miễn nhiệm giám định viên pháp y và giám định viên pháp y </w:t>
            </w:r>
            <w:r w:rsidRPr="009B0C9C">
              <w:rPr>
                <w:rFonts w:eastAsia="Times New Roman"/>
                <w:color w:val="333333"/>
                <w:sz w:val="26"/>
                <w:szCs w:val="26"/>
                <w:lang w:eastAsia="en-US"/>
              </w:rPr>
              <w:t>t</w:t>
            </w:r>
            <w:r w:rsidRPr="009B0C9C">
              <w:rPr>
                <w:rFonts w:eastAsia="Times New Roman"/>
                <w:color w:val="333333"/>
                <w:sz w:val="26"/>
                <w:szCs w:val="26"/>
                <w:lang w:val="vi-VN" w:eastAsia="en-US"/>
              </w:rPr>
              <w:t>âm thần</w:t>
            </w:r>
            <w:r w:rsidRPr="009B0C9C">
              <w:rPr>
                <w:rFonts w:eastAsia="Times New Roman"/>
                <w:color w:val="333333"/>
                <w:sz w:val="26"/>
                <w:szCs w:val="26"/>
                <w:lang w:eastAsia="en-US"/>
              </w:rPr>
              <w:t>.</w:t>
            </w:r>
          </w:p>
        </w:tc>
      </w:tr>
    </w:tbl>
    <w:p w:rsidR="008F7495" w:rsidRDefault="008F7495" w:rsidP="002E16AE">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AE"/>
    <w:rsid w:val="000B754D"/>
    <w:rsid w:val="0016539C"/>
    <w:rsid w:val="002E16AE"/>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6AE"/>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6AE"/>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06744-7364-4634-A2A0-E45543B8499D}"/>
</file>

<file path=customXml/itemProps2.xml><?xml version="1.0" encoding="utf-8"?>
<ds:datastoreItem xmlns:ds="http://schemas.openxmlformats.org/officeDocument/2006/customXml" ds:itemID="{365B5023-420D-48D9-8EB6-192BA4A3BB6B}"/>
</file>

<file path=customXml/itemProps3.xml><?xml version="1.0" encoding="utf-8"?>
<ds:datastoreItem xmlns:ds="http://schemas.openxmlformats.org/officeDocument/2006/customXml" ds:itemID="{DC027D53-32BA-475B-BA60-65EDA1B2C9B4}"/>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Company>Microsoft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2016-08-16T03:50:00Z</dcterms:created>
  <dcterms:modified xsi:type="dcterms:W3CDTF">2016-08-16T03:50:00Z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