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91" w:rsidRDefault="00380D54">
      <w:pPr>
        <w:spacing w:after="300" w:line="276" w:lineRule="auto"/>
        <w:jc w:val="center"/>
      </w:pPr>
      <w:r>
        <w:rPr>
          <w:rFonts w:ascii="Times New Roman" w:eastAsia="Times New Roman" w:hAnsi="Times New Roman" w:cs="Times New Roman"/>
          <w:b/>
          <w:sz w:val="26"/>
        </w:rPr>
        <w:t>Chi tiết thủ tục hành chính</w:t>
      </w:r>
    </w:p>
    <w:p w:rsidR="00A42D91" w:rsidRDefault="00380D54">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1.001396</w:t>
      </w:r>
    </w:p>
    <w:p w:rsidR="00A42D91" w:rsidRDefault="00380D54">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3771/QĐ-BYT</w:t>
      </w:r>
    </w:p>
    <w:p w:rsidR="00A42D91" w:rsidRDefault="00380D54">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Cung cấp thuốc phóng xạ</w:t>
      </w:r>
    </w:p>
    <w:p w:rsidR="00A42D91" w:rsidRDefault="00380D54">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w:t>
      </w:r>
    </w:p>
    <w:p w:rsidR="00A42D91" w:rsidRDefault="00380D54">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A42D91" w:rsidRDefault="00380D54">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Dược phẩm</w:t>
      </w:r>
    </w:p>
    <w:p w:rsidR="00A42D91" w:rsidRDefault="00380D54">
      <w:pPr>
        <w:spacing w:after="0" w:line="276" w:lineRule="auto"/>
        <w:jc w:val="both"/>
      </w:pPr>
      <w:r>
        <w:rPr>
          <w:rFonts w:ascii="Times New Roman" w:eastAsia="Times New Roman" w:hAnsi="Times New Roman" w:cs="Times New Roman"/>
          <w:b/>
          <w:sz w:val="26"/>
        </w:rPr>
        <w:t xml:space="preserve">Trình tự thực hiện: </w:t>
      </w:r>
    </w:p>
    <w:p w:rsidR="00A42D91" w:rsidRDefault="00A42D91">
      <w:pPr>
        <w:shd w:val="clear" w:color="auto" w:fill="F2F6F9"/>
        <w:spacing w:before="120" w:after="0" w:line="276" w:lineRule="auto"/>
        <w:jc w:val="both"/>
      </w:pPr>
    </w:p>
    <w:p w:rsidR="00A42D91" w:rsidRDefault="00380D54">
      <w:pPr>
        <w:spacing w:after="0" w:line="276" w:lineRule="auto"/>
        <w:jc w:val="both"/>
      </w:pPr>
      <w:r>
        <w:rPr>
          <w:rFonts w:ascii="Times New Roman" w:eastAsia="Times New Roman" w:hAnsi="Times New Roman" w:cs="Times New Roman"/>
          <w:sz w:val="26"/>
        </w:rPr>
        <w:t>Bước 1: Cơ sở khám bệnh,</w:t>
      </w:r>
      <w:r>
        <w:rPr>
          <w:rFonts w:ascii="Times New Roman" w:eastAsia="Times New Roman" w:hAnsi="Times New Roman" w:cs="Times New Roman"/>
          <w:sz w:val="26"/>
        </w:rPr>
        <w:t xml:space="preserve"> chữa bệnh cung cấp thuốc phóng xạ nộp 01 bộ hồ sơ trực tiếp, trực tuyến hoặc qua bưu điện về Sở Y tế nơi cơ sở đặt địa điểm.  Bước 2: Sở Y tế nơi đặt địa điểm cơ sở khám bệnh, chữa bệnh cung cấp thuốc phóng xạ trả cho cơ sở đề nghị Phiếu tiếp nhận hồ sơ t</w:t>
      </w:r>
      <w:r>
        <w:rPr>
          <w:rFonts w:ascii="Times New Roman" w:eastAsia="Times New Roman" w:hAnsi="Times New Roman" w:cs="Times New Roman"/>
          <w:sz w:val="26"/>
        </w:rPr>
        <w:t>heo mẫu phiếu quy định tại Phụ lục XV kèm theo Thông tư. Bước 3: Trong thời hạn 1</w:t>
      </w:r>
      <w:r w:rsidR="00215E1A">
        <w:rPr>
          <w:rFonts w:ascii="Times New Roman" w:eastAsia="Times New Roman" w:hAnsi="Times New Roman" w:cs="Times New Roman"/>
          <w:sz w:val="26"/>
        </w:rPr>
        <w:t>3</w:t>
      </w:r>
      <w:r>
        <w:rPr>
          <w:rFonts w:ascii="Times New Roman" w:eastAsia="Times New Roman" w:hAnsi="Times New Roman" w:cs="Times New Roman"/>
          <w:sz w:val="26"/>
        </w:rPr>
        <w:t xml:space="preserve"> ngày kể từ ngày ghi trên Phiếu tiếp nhận hồ sơ, trường hợp không có yêu cầu sửa đổi, bổ sung hồ sơ, Sở Y tế nơi đặt địa điểm cơ sở khám bệnh, chữa bệnh cung cấp thuốc phóng </w:t>
      </w:r>
      <w:r>
        <w:rPr>
          <w:rFonts w:ascii="Times New Roman" w:eastAsia="Times New Roman" w:hAnsi="Times New Roman" w:cs="Times New Roman"/>
          <w:sz w:val="26"/>
        </w:rPr>
        <w:t>xạ có văn bản chấp thuận việc cung cấp thuốc của cơ sở; trường hợp có yêu cầu sửa đổi, bổ sung hồ sơ, Sở Y tế nơi đặt địa điểm cơ sở khám bệnh, chữa bệnh cung cấp thuốc phóng xạ có văn bản gửi cơ sở đề nghị, trong đó nêu cụ thể các tài liệu, nội dung cần s</w:t>
      </w:r>
      <w:r>
        <w:rPr>
          <w:rFonts w:ascii="Times New Roman" w:eastAsia="Times New Roman" w:hAnsi="Times New Roman" w:cs="Times New Roman"/>
          <w:sz w:val="26"/>
        </w:rPr>
        <w:t>ửa đổi, bổ sung. Bước 4: Sau khi cơ sở nộp hồ sơ sửa đổi, bổ sung, Sở Y tế nơi đặt địa điểm cơ sở khám bệnh, chữa bệnh cung cấp thuốc phóng xạ trả cho cơ sở Phiếu tiếp nhận hồ sơ sửa đổi, bổ sung theo mẫu phiếu quy định tại Phụ lục XV kèm theo Thông tư. a)</w:t>
      </w:r>
      <w:r>
        <w:rPr>
          <w:rFonts w:ascii="Times New Roman" w:eastAsia="Times New Roman" w:hAnsi="Times New Roman" w:cs="Times New Roman"/>
          <w:sz w:val="26"/>
        </w:rPr>
        <w:t xml:space="preserve"> Trường hợp hồ sơ sửa đổi, bổ sung không đáp ứng yêu cầu, Sở Y tế nơi đặt địa điểm cơ sở khám bệnh, chữa bệnh cung cấp thuốc phóng xạ có văn bản thông báo cho cơ sở theo quy định tại Bước 3; b) Trường hợp không có yêu cầu sửa đổi, bổ sung đối với hồ sơ sửa</w:t>
      </w:r>
      <w:r>
        <w:rPr>
          <w:rFonts w:ascii="Times New Roman" w:eastAsia="Times New Roman" w:hAnsi="Times New Roman" w:cs="Times New Roman"/>
          <w:sz w:val="26"/>
        </w:rPr>
        <w:t xml:space="preserve"> đổi, bổ sung, Sở Y tế nơi đặt địa điểm cơ sở khám bệnh, chữa bệnh cung cấp thuốc phóng xạ có văn bản chấp thuận việc cung cấp thuốc của cơ sở theo quy định tại Bước 3.  Trong thời hạn 60 ngày, kể từ ngày cơ quan tiếp nhận hồ sơ có văn bản thông báo sửa đổ</w:t>
      </w:r>
      <w:r>
        <w:rPr>
          <w:rFonts w:ascii="Times New Roman" w:eastAsia="Times New Roman" w:hAnsi="Times New Roman" w:cs="Times New Roman"/>
          <w:sz w:val="26"/>
        </w:rPr>
        <w:t>i, bổ sung, cơ sở đề nghị phải nộp hồ sơ sửa đổi, bổ sung theo yêu cầu. Sau thời hạn trên, cơ sở không sửa đổi, bổ sung hoặc sau 90 ngày kể từ ngày nộp hồ sơ lần đầu mà hồ sơ bổ sung không đáp ứng yêu cầu thì hồ sơ đã nộp không còn giá trị.</w:t>
      </w:r>
    </w:p>
    <w:p w:rsidR="00A42D91" w:rsidRDefault="00380D54">
      <w:pPr>
        <w:spacing w:before="240" w:after="0" w:line="276" w:lineRule="auto"/>
        <w:jc w:val="both"/>
      </w:pPr>
      <w:r>
        <w:rPr>
          <w:rFonts w:ascii="Times New Roman" w:eastAsia="Times New Roman" w:hAnsi="Times New Roman" w:cs="Times New Roman"/>
          <w:b/>
          <w:sz w:val="26"/>
        </w:rPr>
        <w:t xml:space="preserve">Cách thức thực </w:t>
      </w:r>
      <w:r>
        <w:rPr>
          <w:rFonts w:ascii="Times New Roman" w:eastAsia="Times New Roman" w:hAnsi="Times New Roman" w:cs="Times New Roman"/>
          <w:b/>
          <w:sz w:val="26"/>
        </w:rPr>
        <w:t xml:space="preserve">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97"/>
        <w:gridCol w:w="1640"/>
        <w:gridCol w:w="2694"/>
        <w:gridCol w:w="3460"/>
      </w:tblGrid>
      <w:tr w:rsidR="00A42D91">
        <w:tblPrEx>
          <w:tblCellMar>
            <w:top w:w="0" w:type="dxa"/>
            <w:bottom w:w="0" w:type="dxa"/>
          </w:tblCellMar>
        </w:tblPrEx>
        <w:tc>
          <w:tcPr>
            <w:tcW w:w="1500" w:type="dxa"/>
          </w:tcPr>
          <w:p w:rsidR="00A42D91" w:rsidRDefault="00A42D91"/>
          <w:p w:rsidR="00A42D91" w:rsidRDefault="00380D54">
            <w:pPr>
              <w:spacing w:after="0" w:line="276" w:lineRule="auto"/>
              <w:jc w:val="center"/>
            </w:pPr>
            <w:r>
              <w:rPr>
                <w:rFonts w:ascii="Times New Roman" w:eastAsia="Times New Roman" w:hAnsi="Times New Roman" w:cs="Times New Roman"/>
                <w:b/>
                <w:sz w:val="26"/>
              </w:rPr>
              <w:t>Hình thức nộp</w:t>
            </w:r>
          </w:p>
        </w:tc>
        <w:tc>
          <w:tcPr>
            <w:tcW w:w="2000" w:type="dxa"/>
          </w:tcPr>
          <w:p w:rsidR="00A42D91" w:rsidRDefault="00A42D91"/>
          <w:p w:rsidR="00A42D91" w:rsidRDefault="00380D54">
            <w:pPr>
              <w:spacing w:after="0" w:line="276" w:lineRule="auto"/>
              <w:jc w:val="center"/>
            </w:pPr>
            <w:r>
              <w:rPr>
                <w:rFonts w:ascii="Times New Roman" w:eastAsia="Times New Roman" w:hAnsi="Times New Roman" w:cs="Times New Roman"/>
                <w:b/>
                <w:sz w:val="26"/>
              </w:rPr>
              <w:t>Thời hạn giải quyết</w:t>
            </w:r>
          </w:p>
        </w:tc>
        <w:tc>
          <w:tcPr>
            <w:tcW w:w="3500" w:type="dxa"/>
          </w:tcPr>
          <w:p w:rsidR="00A42D91" w:rsidRDefault="00A42D91"/>
          <w:p w:rsidR="00A42D91" w:rsidRDefault="00380D54">
            <w:pPr>
              <w:spacing w:after="0" w:line="276" w:lineRule="auto"/>
              <w:jc w:val="center"/>
            </w:pPr>
            <w:r>
              <w:rPr>
                <w:rFonts w:ascii="Times New Roman" w:eastAsia="Times New Roman" w:hAnsi="Times New Roman" w:cs="Times New Roman"/>
                <w:b/>
                <w:sz w:val="26"/>
              </w:rPr>
              <w:t>Phí, lệ phí</w:t>
            </w:r>
          </w:p>
        </w:tc>
        <w:tc>
          <w:tcPr>
            <w:tcW w:w="3000" w:type="dxa"/>
          </w:tcPr>
          <w:p w:rsidR="00A42D91" w:rsidRDefault="00A42D91"/>
          <w:p w:rsidR="00A42D91" w:rsidRDefault="00380D54">
            <w:pPr>
              <w:spacing w:after="0" w:line="276" w:lineRule="auto"/>
              <w:jc w:val="center"/>
            </w:pPr>
            <w:r>
              <w:rPr>
                <w:rFonts w:ascii="Times New Roman" w:eastAsia="Times New Roman" w:hAnsi="Times New Roman" w:cs="Times New Roman"/>
                <w:b/>
                <w:sz w:val="26"/>
              </w:rPr>
              <w:t>Mô tả</w:t>
            </w:r>
          </w:p>
        </w:tc>
      </w:tr>
      <w:tr w:rsidR="00A42D91">
        <w:tblPrEx>
          <w:tblCellMar>
            <w:top w:w="0" w:type="dxa"/>
            <w:bottom w:w="0" w:type="dxa"/>
          </w:tblCellMar>
        </w:tblPrEx>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Trực tiếp</w:t>
            </w:r>
          </w:p>
        </w:tc>
        <w:tc>
          <w:tcPr>
            <w:tcW w:w="0" w:type="auto"/>
          </w:tcPr>
          <w:p w:rsidR="00A42D91" w:rsidRDefault="00A42D91"/>
          <w:p w:rsidR="00A42D91" w:rsidRDefault="00380D54" w:rsidP="00215E1A">
            <w:pPr>
              <w:spacing w:after="0" w:line="276" w:lineRule="auto"/>
            </w:pPr>
            <w:r>
              <w:rPr>
                <w:rFonts w:ascii="Times New Roman" w:eastAsia="Times New Roman" w:hAnsi="Times New Roman" w:cs="Times New Roman"/>
                <w:sz w:val="26"/>
              </w:rPr>
              <w:t>1</w:t>
            </w:r>
            <w:r w:rsidR="00215E1A">
              <w:rPr>
                <w:rFonts w:ascii="Times New Roman" w:eastAsia="Times New Roman" w:hAnsi="Times New Roman" w:cs="Times New Roman"/>
                <w:sz w:val="26"/>
              </w:rPr>
              <w:t>3</w:t>
            </w:r>
            <w:r>
              <w:rPr>
                <w:rFonts w:ascii="Times New Roman" w:eastAsia="Times New Roman" w:hAnsi="Times New Roman" w:cs="Times New Roman"/>
                <w:sz w:val="26"/>
              </w:rPr>
              <w:t xml:space="preserve"> Ngày</w:t>
            </w:r>
          </w:p>
        </w:tc>
        <w:tc>
          <w:tcPr>
            <w:tcW w:w="0" w:type="auto"/>
          </w:tcPr>
          <w:p w:rsidR="00A42D91" w:rsidRDefault="00A42D91"/>
          <w:p w:rsidR="00A42D91" w:rsidRDefault="00A42D91">
            <w:pPr>
              <w:spacing w:after="0" w:line="276" w:lineRule="auto"/>
            </w:pPr>
          </w:p>
        </w:tc>
        <w:tc>
          <w:tcPr>
            <w:tcW w:w="0" w:type="auto"/>
          </w:tcPr>
          <w:p w:rsidR="00A42D91" w:rsidRDefault="00A42D91"/>
          <w:p w:rsidR="00A42D91" w:rsidRDefault="00380D54" w:rsidP="00215E1A">
            <w:pPr>
              <w:spacing w:after="0" w:line="276" w:lineRule="auto"/>
            </w:pPr>
            <w:r>
              <w:rPr>
                <w:rFonts w:ascii="Times New Roman" w:eastAsia="Times New Roman" w:hAnsi="Times New Roman" w:cs="Times New Roman"/>
                <w:sz w:val="26"/>
              </w:rPr>
              <w:t>1</w:t>
            </w:r>
            <w:r w:rsidR="00215E1A">
              <w:rPr>
                <w:rFonts w:ascii="Times New Roman" w:eastAsia="Times New Roman" w:hAnsi="Times New Roman" w:cs="Times New Roman"/>
                <w:sz w:val="26"/>
              </w:rPr>
              <w:t>3</w:t>
            </w:r>
            <w:r>
              <w:rPr>
                <w:rFonts w:ascii="Times New Roman" w:eastAsia="Times New Roman" w:hAnsi="Times New Roman" w:cs="Times New Roman"/>
                <w:sz w:val="26"/>
              </w:rPr>
              <w:t xml:space="preserve"> ngày kể từ ngày nhận được hồ sơ hợp lệ</w:t>
            </w:r>
          </w:p>
        </w:tc>
      </w:tr>
      <w:tr w:rsidR="00A42D91">
        <w:tblPrEx>
          <w:tblCellMar>
            <w:top w:w="0" w:type="dxa"/>
            <w:bottom w:w="0" w:type="dxa"/>
          </w:tblCellMar>
        </w:tblPrEx>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Trực tuyến</w:t>
            </w:r>
          </w:p>
        </w:tc>
        <w:tc>
          <w:tcPr>
            <w:tcW w:w="0" w:type="auto"/>
          </w:tcPr>
          <w:p w:rsidR="00A42D91" w:rsidRDefault="00A42D91"/>
          <w:p w:rsidR="00A42D91" w:rsidRDefault="00380D54" w:rsidP="00215E1A">
            <w:pPr>
              <w:spacing w:after="0" w:line="276" w:lineRule="auto"/>
            </w:pPr>
            <w:r>
              <w:rPr>
                <w:rFonts w:ascii="Times New Roman" w:eastAsia="Times New Roman" w:hAnsi="Times New Roman" w:cs="Times New Roman"/>
                <w:sz w:val="26"/>
              </w:rPr>
              <w:t>1</w:t>
            </w:r>
            <w:r w:rsidR="00215E1A">
              <w:rPr>
                <w:rFonts w:ascii="Times New Roman" w:eastAsia="Times New Roman" w:hAnsi="Times New Roman" w:cs="Times New Roman"/>
                <w:sz w:val="26"/>
              </w:rPr>
              <w:t>3</w:t>
            </w:r>
            <w:r>
              <w:rPr>
                <w:rFonts w:ascii="Times New Roman" w:eastAsia="Times New Roman" w:hAnsi="Times New Roman" w:cs="Times New Roman"/>
                <w:sz w:val="26"/>
              </w:rPr>
              <w:t xml:space="preserve"> Ngày</w:t>
            </w:r>
          </w:p>
        </w:tc>
        <w:tc>
          <w:tcPr>
            <w:tcW w:w="0" w:type="auto"/>
          </w:tcPr>
          <w:p w:rsidR="00A42D91" w:rsidRDefault="00A42D91"/>
          <w:p w:rsidR="00A42D91" w:rsidRDefault="00A42D91">
            <w:pPr>
              <w:spacing w:after="0" w:line="276" w:lineRule="auto"/>
            </w:pPr>
          </w:p>
        </w:tc>
        <w:tc>
          <w:tcPr>
            <w:tcW w:w="0" w:type="auto"/>
          </w:tcPr>
          <w:p w:rsidR="00A42D91" w:rsidRDefault="00A42D91"/>
          <w:p w:rsidR="00A42D91" w:rsidRDefault="00380D54" w:rsidP="00215E1A">
            <w:pPr>
              <w:spacing w:after="0" w:line="276" w:lineRule="auto"/>
            </w:pPr>
            <w:r>
              <w:rPr>
                <w:rFonts w:ascii="Times New Roman" w:eastAsia="Times New Roman" w:hAnsi="Times New Roman" w:cs="Times New Roman"/>
                <w:sz w:val="26"/>
              </w:rPr>
              <w:t>1</w:t>
            </w:r>
            <w:r w:rsidR="00215E1A">
              <w:rPr>
                <w:rFonts w:ascii="Times New Roman" w:eastAsia="Times New Roman" w:hAnsi="Times New Roman" w:cs="Times New Roman"/>
                <w:sz w:val="26"/>
              </w:rPr>
              <w:t>3</w:t>
            </w:r>
            <w:r>
              <w:rPr>
                <w:rFonts w:ascii="Times New Roman" w:eastAsia="Times New Roman" w:hAnsi="Times New Roman" w:cs="Times New Roman"/>
                <w:sz w:val="26"/>
              </w:rPr>
              <w:t xml:space="preserve"> ngày kể từ ngày nhận được hồ sơ hợp lệ</w:t>
            </w:r>
          </w:p>
        </w:tc>
      </w:tr>
      <w:tr w:rsidR="00A42D91">
        <w:tblPrEx>
          <w:tblCellMar>
            <w:top w:w="0" w:type="dxa"/>
            <w:bottom w:w="0" w:type="dxa"/>
          </w:tblCellMar>
        </w:tblPrEx>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Dịch vụ bưu chính</w:t>
            </w:r>
          </w:p>
        </w:tc>
        <w:tc>
          <w:tcPr>
            <w:tcW w:w="0" w:type="auto"/>
          </w:tcPr>
          <w:p w:rsidR="00A42D91" w:rsidRDefault="00A42D91"/>
          <w:p w:rsidR="00A42D91" w:rsidRDefault="00380D54" w:rsidP="00215E1A">
            <w:pPr>
              <w:spacing w:after="0" w:line="276" w:lineRule="auto"/>
            </w:pPr>
            <w:r>
              <w:rPr>
                <w:rFonts w:ascii="Times New Roman" w:eastAsia="Times New Roman" w:hAnsi="Times New Roman" w:cs="Times New Roman"/>
                <w:sz w:val="26"/>
              </w:rPr>
              <w:t>1</w:t>
            </w:r>
            <w:r w:rsidR="00215E1A">
              <w:rPr>
                <w:rFonts w:ascii="Times New Roman" w:eastAsia="Times New Roman" w:hAnsi="Times New Roman" w:cs="Times New Roman"/>
                <w:sz w:val="26"/>
              </w:rPr>
              <w:t>3</w:t>
            </w:r>
            <w:r>
              <w:rPr>
                <w:rFonts w:ascii="Times New Roman" w:eastAsia="Times New Roman" w:hAnsi="Times New Roman" w:cs="Times New Roman"/>
                <w:sz w:val="26"/>
              </w:rPr>
              <w:t xml:space="preserve"> Ngày</w:t>
            </w:r>
          </w:p>
        </w:tc>
        <w:tc>
          <w:tcPr>
            <w:tcW w:w="0" w:type="auto"/>
          </w:tcPr>
          <w:p w:rsidR="00A42D91" w:rsidRDefault="00A42D91"/>
          <w:p w:rsidR="00A42D91" w:rsidRDefault="00A42D91">
            <w:pPr>
              <w:spacing w:after="0" w:line="276" w:lineRule="auto"/>
            </w:pPr>
          </w:p>
        </w:tc>
        <w:tc>
          <w:tcPr>
            <w:tcW w:w="0" w:type="auto"/>
          </w:tcPr>
          <w:p w:rsidR="00A42D91" w:rsidRDefault="00A42D91"/>
          <w:p w:rsidR="00A42D91" w:rsidRDefault="00380D54" w:rsidP="00215E1A">
            <w:pPr>
              <w:spacing w:after="0" w:line="276" w:lineRule="auto"/>
            </w:pPr>
            <w:r>
              <w:rPr>
                <w:rFonts w:ascii="Times New Roman" w:eastAsia="Times New Roman" w:hAnsi="Times New Roman" w:cs="Times New Roman"/>
                <w:sz w:val="26"/>
              </w:rPr>
              <w:t>1</w:t>
            </w:r>
            <w:r w:rsidR="00215E1A">
              <w:rPr>
                <w:rFonts w:ascii="Times New Roman" w:eastAsia="Times New Roman" w:hAnsi="Times New Roman" w:cs="Times New Roman"/>
                <w:sz w:val="26"/>
              </w:rPr>
              <w:t>3</w:t>
            </w:r>
            <w:bookmarkStart w:id="0" w:name="_GoBack"/>
            <w:bookmarkEnd w:id="0"/>
            <w:r>
              <w:rPr>
                <w:rFonts w:ascii="Times New Roman" w:eastAsia="Times New Roman" w:hAnsi="Times New Roman" w:cs="Times New Roman"/>
                <w:sz w:val="26"/>
              </w:rPr>
              <w:t xml:space="preserve"> ngày kể từ ngày nhận được</w:t>
            </w:r>
            <w:r>
              <w:rPr>
                <w:rFonts w:ascii="Times New Roman" w:eastAsia="Times New Roman" w:hAnsi="Times New Roman" w:cs="Times New Roman"/>
                <w:sz w:val="26"/>
              </w:rPr>
              <w:t xml:space="preserve"> hồ sơ hợp lệ</w:t>
            </w:r>
          </w:p>
        </w:tc>
      </w:tr>
    </w:tbl>
    <w:p w:rsidR="00A42D91" w:rsidRDefault="00380D54">
      <w:pPr>
        <w:spacing w:before="240" w:after="0" w:line="276" w:lineRule="auto"/>
        <w:jc w:val="both"/>
      </w:pPr>
      <w:r>
        <w:rPr>
          <w:rFonts w:ascii="Times New Roman" w:eastAsia="Times New Roman" w:hAnsi="Times New Roman" w:cs="Times New Roman"/>
          <w:b/>
          <w:sz w:val="26"/>
        </w:rPr>
        <w:t xml:space="preserve">Thành phần hồ sơ: </w:t>
      </w:r>
    </w:p>
    <w:p w:rsidR="00A42D91" w:rsidRDefault="00380D54">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65"/>
        <w:gridCol w:w="2008"/>
        <w:gridCol w:w="918"/>
      </w:tblGrid>
      <w:tr w:rsidR="00A42D91">
        <w:tblPrEx>
          <w:tblCellMar>
            <w:top w:w="0" w:type="dxa"/>
            <w:bottom w:w="0" w:type="dxa"/>
          </w:tblCellMar>
        </w:tblPrEx>
        <w:tc>
          <w:tcPr>
            <w:tcW w:w="6000" w:type="dxa"/>
          </w:tcPr>
          <w:p w:rsidR="00A42D91" w:rsidRDefault="00A42D91"/>
          <w:p w:rsidR="00A42D91" w:rsidRDefault="00380D54">
            <w:pPr>
              <w:spacing w:after="0" w:line="276" w:lineRule="auto"/>
              <w:jc w:val="center"/>
            </w:pPr>
            <w:r>
              <w:rPr>
                <w:rFonts w:ascii="Times New Roman" w:eastAsia="Times New Roman" w:hAnsi="Times New Roman" w:cs="Times New Roman"/>
                <w:b/>
                <w:sz w:val="26"/>
              </w:rPr>
              <w:t>Tên giấy tờ</w:t>
            </w:r>
          </w:p>
        </w:tc>
        <w:tc>
          <w:tcPr>
            <w:tcW w:w="2000" w:type="dxa"/>
          </w:tcPr>
          <w:p w:rsidR="00A42D91" w:rsidRDefault="00A42D91"/>
          <w:p w:rsidR="00A42D91" w:rsidRDefault="00380D54">
            <w:pPr>
              <w:spacing w:after="0" w:line="276" w:lineRule="auto"/>
              <w:jc w:val="center"/>
            </w:pPr>
            <w:r>
              <w:rPr>
                <w:rFonts w:ascii="Times New Roman" w:eastAsia="Times New Roman" w:hAnsi="Times New Roman" w:cs="Times New Roman"/>
                <w:b/>
                <w:sz w:val="26"/>
              </w:rPr>
              <w:t>Mẫu đơn, tờ khai</w:t>
            </w:r>
          </w:p>
        </w:tc>
        <w:tc>
          <w:tcPr>
            <w:tcW w:w="2000" w:type="dxa"/>
          </w:tcPr>
          <w:p w:rsidR="00A42D91" w:rsidRDefault="00A42D91"/>
          <w:p w:rsidR="00A42D91" w:rsidRDefault="00380D54">
            <w:pPr>
              <w:spacing w:after="0" w:line="276" w:lineRule="auto"/>
              <w:jc w:val="center"/>
            </w:pPr>
            <w:r>
              <w:rPr>
                <w:rFonts w:ascii="Times New Roman" w:eastAsia="Times New Roman" w:hAnsi="Times New Roman" w:cs="Times New Roman"/>
                <w:b/>
                <w:sz w:val="26"/>
              </w:rPr>
              <w:t>Số lượng</w:t>
            </w:r>
          </w:p>
        </w:tc>
      </w:tr>
      <w:tr w:rsidR="00A42D91">
        <w:tblPrEx>
          <w:tblCellMar>
            <w:top w:w="0" w:type="dxa"/>
            <w:bottom w:w="0" w:type="dxa"/>
          </w:tblCellMar>
        </w:tblPrEx>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Đơn đề nghị cung cấp thuốc phóng xạ của cơ sở khám bệnh, chữa bệnh theo Mẫu Đơn quy định tại Phụ lục XIII ban hành kèm theo Thông tư</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PhlcXIII.docx</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t>0</w:t>
            </w:r>
          </w:p>
        </w:tc>
      </w:tr>
      <w:tr w:rsidR="00A42D91">
        <w:tblPrEx>
          <w:tblCellMar>
            <w:top w:w="0" w:type="dxa"/>
            <w:bottom w:w="0" w:type="dxa"/>
          </w:tblCellMar>
        </w:tblPrEx>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Báo cáo việc sản xuất, pha chế, sử dụng thuốc phóng xạ đề nghị cung cấp tại cơ sở khám bệnh, chữa bệnh sản xuất, pha chế, trong đó nêu cụ thể các thông tin về công suất máy, khả năng sản xuất, số lượng thuốc sản xuất, số lượng bệnh nhân sử dụng, số lượ</w:t>
            </w:r>
            <w:r>
              <w:rPr>
                <w:rFonts w:ascii="Times New Roman" w:eastAsia="Times New Roman" w:hAnsi="Times New Roman" w:cs="Times New Roman"/>
                <w:sz w:val="26"/>
              </w:rPr>
              <w:t>ng thuốc đã sản xuất nhưng không sử dụng có đóng dấu xác nhận của cơ sở đề nghị theo Mẫu Báo cáo quy định tại Phụ lục XIV ban hành kèm theo Thông tư</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phu luc XIV TT20.2017.docx</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A42D91" w:rsidRDefault="00380D54">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Doanh nghiệp, Doanh nghiệp có </w:t>
      </w:r>
      <w:r>
        <w:rPr>
          <w:rFonts w:ascii="Times New Roman" w:eastAsia="Times New Roman" w:hAnsi="Times New Roman" w:cs="Times New Roman"/>
          <w:sz w:val="26"/>
        </w:rPr>
        <w:t>vốn đầu tư nước ngoài, Tổ chức (không bao gồm doanh nghiệp, HTX)</w:t>
      </w:r>
    </w:p>
    <w:p w:rsidR="00A42D91" w:rsidRDefault="00380D54">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Y tế</w:t>
      </w:r>
    </w:p>
    <w:p w:rsidR="00A42D91" w:rsidRDefault="00380D54">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A42D91" w:rsidRDefault="00380D54">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Sở Y tế nơi đặt địa điểm cơ sở khám bệnh, chữa bệnh cung cấp thuốc phóng xạ</w:t>
      </w:r>
    </w:p>
    <w:p w:rsidR="00A42D91" w:rsidRDefault="00380D54">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w:t>
      </w:r>
      <w:r>
        <w:rPr>
          <w:rFonts w:ascii="Times New Roman" w:eastAsia="Times New Roman" w:hAnsi="Times New Roman" w:cs="Times New Roman"/>
          <w:sz w:val="26"/>
        </w:rPr>
        <w:t>hông có thông tin</w:t>
      </w:r>
    </w:p>
    <w:p w:rsidR="00A42D91" w:rsidRDefault="00380D54">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A42D91" w:rsidRDefault="00380D54">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đồng ý hoặc không đồng ý</w:t>
      </w:r>
    </w:p>
    <w:p w:rsidR="00A42D91" w:rsidRDefault="00380D54">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53"/>
        <w:gridCol w:w="5912"/>
        <w:gridCol w:w="729"/>
        <w:gridCol w:w="997"/>
      </w:tblGrid>
      <w:tr w:rsidR="00A42D91">
        <w:tblPrEx>
          <w:tblCellMar>
            <w:top w:w="0" w:type="dxa"/>
            <w:bottom w:w="0" w:type="dxa"/>
          </w:tblCellMar>
        </w:tblPrEx>
        <w:tc>
          <w:tcPr>
            <w:tcW w:w="2000" w:type="dxa"/>
          </w:tcPr>
          <w:p w:rsidR="00A42D91" w:rsidRDefault="00A42D91"/>
          <w:p w:rsidR="00A42D91" w:rsidRDefault="00380D54">
            <w:pPr>
              <w:spacing w:after="0" w:line="276" w:lineRule="auto"/>
              <w:jc w:val="center"/>
            </w:pPr>
            <w:r>
              <w:rPr>
                <w:rFonts w:ascii="Times New Roman" w:eastAsia="Times New Roman" w:hAnsi="Times New Roman" w:cs="Times New Roman"/>
                <w:b/>
                <w:sz w:val="26"/>
              </w:rPr>
              <w:lastRenderedPageBreak/>
              <w:t>Số ký hiệu</w:t>
            </w:r>
          </w:p>
        </w:tc>
        <w:tc>
          <w:tcPr>
            <w:tcW w:w="3500" w:type="dxa"/>
          </w:tcPr>
          <w:p w:rsidR="00A42D91" w:rsidRDefault="00A42D91"/>
          <w:p w:rsidR="00A42D91" w:rsidRDefault="00380D54">
            <w:pPr>
              <w:spacing w:after="0" w:line="276" w:lineRule="auto"/>
              <w:jc w:val="center"/>
            </w:pPr>
            <w:r>
              <w:rPr>
                <w:rFonts w:ascii="Times New Roman" w:eastAsia="Times New Roman" w:hAnsi="Times New Roman" w:cs="Times New Roman"/>
                <w:b/>
                <w:sz w:val="26"/>
              </w:rPr>
              <w:lastRenderedPageBreak/>
              <w:t>Trích yếu</w:t>
            </w:r>
          </w:p>
        </w:tc>
        <w:tc>
          <w:tcPr>
            <w:tcW w:w="1500" w:type="dxa"/>
          </w:tcPr>
          <w:p w:rsidR="00A42D91" w:rsidRDefault="00A42D91"/>
          <w:p w:rsidR="00A42D91" w:rsidRDefault="00380D54">
            <w:pPr>
              <w:spacing w:after="0" w:line="276" w:lineRule="auto"/>
              <w:jc w:val="center"/>
            </w:pPr>
            <w:r>
              <w:rPr>
                <w:rFonts w:ascii="Times New Roman" w:eastAsia="Times New Roman" w:hAnsi="Times New Roman" w:cs="Times New Roman"/>
                <w:b/>
                <w:sz w:val="26"/>
              </w:rPr>
              <w:lastRenderedPageBreak/>
              <w:t>Ngày ban hành</w:t>
            </w:r>
          </w:p>
        </w:tc>
        <w:tc>
          <w:tcPr>
            <w:tcW w:w="3000" w:type="dxa"/>
          </w:tcPr>
          <w:p w:rsidR="00A42D91" w:rsidRDefault="00A42D91"/>
          <w:p w:rsidR="00A42D91" w:rsidRDefault="00380D54">
            <w:pPr>
              <w:spacing w:after="0" w:line="276" w:lineRule="auto"/>
              <w:jc w:val="center"/>
            </w:pPr>
            <w:r>
              <w:rPr>
                <w:rFonts w:ascii="Times New Roman" w:eastAsia="Times New Roman" w:hAnsi="Times New Roman" w:cs="Times New Roman"/>
                <w:b/>
                <w:sz w:val="26"/>
              </w:rPr>
              <w:lastRenderedPageBreak/>
              <w:t>Cơ quan ban hành</w:t>
            </w:r>
          </w:p>
        </w:tc>
      </w:tr>
      <w:tr w:rsidR="00A42D91">
        <w:tblPrEx>
          <w:tblCellMar>
            <w:top w:w="0" w:type="dxa"/>
            <w:bottom w:w="0" w:type="dxa"/>
          </w:tblCellMar>
        </w:tblPrEx>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105/2016/QH13</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Luật 105/2016/QH13</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06-04-2016</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Quốc Hội</w:t>
            </w:r>
          </w:p>
        </w:tc>
      </w:tr>
      <w:tr w:rsidR="00A42D91">
        <w:tblPrEx>
          <w:tblCellMar>
            <w:top w:w="0" w:type="dxa"/>
            <w:bottom w:w="0" w:type="dxa"/>
          </w:tblCellMar>
        </w:tblPrEx>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54/2017/NĐ-CP</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Nghị định 54/2017/NĐ-CP</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08-05-2017</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Chính phủ</w:t>
            </w:r>
          </w:p>
        </w:tc>
      </w:tr>
      <w:tr w:rsidR="00A42D91">
        <w:tblPrEx>
          <w:tblCellMar>
            <w:top w:w="0" w:type="dxa"/>
            <w:bottom w:w="0" w:type="dxa"/>
          </w:tblCellMar>
        </w:tblPrEx>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20/2017/TT-BYT</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Thông tư 20/2017/TT-BYT - Quy định chi tiết một số điều của Luật dược và Nghị định số 54/2017/NĐ-CP ngày 08 tháng 5 năm 2017 của Chính phủ về thuốc và nguyên liệu làm thuốc phải kiểm soát đặc</w:t>
            </w:r>
            <w:r>
              <w:rPr>
                <w:rFonts w:ascii="Times New Roman" w:eastAsia="Times New Roman" w:hAnsi="Times New Roman" w:cs="Times New Roman"/>
                <w:sz w:val="26"/>
              </w:rPr>
              <w:t xml:space="preserve"> biệt</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10-05-2017</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Bộ Y tế</w:t>
            </w:r>
          </w:p>
        </w:tc>
      </w:tr>
      <w:tr w:rsidR="00A42D91">
        <w:tblPrEx>
          <w:tblCellMar>
            <w:top w:w="0" w:type="dxa"/>
            <w:bottom w:w="0" w:type="dxa"/>
          </w:tblCellMar>
        </w:tblPrEx>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27/2024/TT-BYT</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 xml:space="preserve">Sửa đổi, bổ sung một số điều của Thông tư số 20/2017/TT-BYT ngày 10 tháng 5 năm 2017 của Bộ trưởng Bộ Y tế quy định chi tiết một số điều của Luật dược và Nghị định số 54/2017/NĐ-CP ngày 08 tháng 5 năm 2017 của </w:t>
            </w:r>
            <w:r>
              <w:rPr>
                <w:rFonts w:ascii="Times New Roman" w:eastAsia="Times New Roman" w:hAnsi="Times New Roman" w:cs="Times New Roman"/>
                <w:sz w:val="26"/>
              </w:rPr>
              <w:t>Chính phủ về thuốc và nguyên liệu làm thuốc phải kiểm soát đặc biệt</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01-11-2024</w:t>
            </w:r>
          </w:p>
        </w:tc>
        <w:tc>
          <w:tcPr>
            <w:tcW w:w="0" w:type="auto"/>
          </w:tcPr>
          <w:p w:rsidR="00A42D91" w:rsidRDefault="00A42D91"/>
          <w:p w:rsidR="00A42D91" w:rsidRDefault="00380D54">
            <w:pPr>
              <w:spacing w:after="0" w:line="276" w:lineRule="auto"/>
            </w:pPr>
            <w:r>
              <w:rPr>
                <w:rFonts w:ascii="Times New Roman" w:eastAsia="Times New Roman" w:hAnsi="Times New Roman" w:cs="Times New Roman"/>
                <w:sz w:val="26"/>
              </w:rPr>
              <w:t>Bộ Y tế</w:t>
            </w:r>
          </w:p>
        </w:tc>
      </w:tr>
    </w:tbl>
    <w:p w:rsidR="00A42D91" w:rsidRDefault="00380D54">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1. Được phép sản xuất, pha chế thuốc phóng xạ theo quy định; 2. Số lượng thuốc sản xuất, pha chế phục vụ cho công tác điều trị tại cơ sở</w:t>
      </w:r>
      <w:r>
        <w:rPr>
          <w:rFonts w:ascii="Times New Roman" w:eastAsia="Times New Roman" w:hAnsi="Times New Roman" w:cs="Times New Roman"/>
          <w:sz w:val="26"/>
        </w:rPr>
        <w:t xml:space="preserve"> nhiều hơn nhu cầu sử dụng thực tế.</w:t>
      </w:r>
    </w:p>
    <w:p w:rsidR="00A42D91" w:rsidRDefault="00380D54">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A42D91" w:rsidRDefault="00380D54">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A42D91">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91"/>
    <w:rsid w:val="00215E1A"/>
    <w:rsid w:val="00380D54"/>
    <w:rsid w:val="00A42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7008"/>
  <w15:docId w15:val="{5423C566-E4F0-497C-ADD7-2A163924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D8DF1F8B-9A3E-460B-8FA1-336636131F35}"/>
</file>

<file path=customXml/itemProps2.xml><?xml version="1.0" encoding="utf-8"?>
<ds:datastoreItem xmlns:ds="http://schemas.openxmlformats.org/officeDocument/2006/customXml" ds:itemID="{2E5A5FC8-7CFA-40F2-8473-972A2F030D53}"/>
</file>

<file path=customXml/itemProps3.xml><?xml version="1.0" encoding="utf-8"?>
<ds:datastoreItem xmlns:ds="http://schemas.openxmlformats.org/officeDocument/2006/customXml" ds:itemID="{49E87D44-9757-4602-9490-7AB5498A9B59}"/>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2024-12-30T02:53:00Z</dcterms:created>
  <dcterms:modified xsi:type="dcterms:W3CDTF">2024-12-30T02:53:00Z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