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36" w:rsidRDefault="00752C91">
      <w:pPr>
        <w:spacing w:after="300" w:line="276" w:lineRule="auto"/>
        <w:jc w:val="center"/>
      </w:pPr>
      <w:r>
        <w:rPr>
          <w:rFonts w:ascii="Times New Roman" w:eastAsia="Times New Roman" w:hAnsi="Times New Roman" w:cs="Times New Roman"/>
          <w:b/>
          <w:sz w:val="26"/>
        </w:rPr>
        <w:t>Chi tiết thủ tục hành chính</w:t>
      </w:r>
    </w:p>
    <w:p w:rsidR="00820036" w:rsidRDefault="00752C9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1.013036</w:t>
      </w:r>
    </w:p>
    <w:p w:rsidR="00820036" w:rsidRDefault="00752C9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3555/QĐ-BYT</w:t>
      </w:r>
    </w:p>
    <w:p w:rsidR="00820036" w:rsidRDefault="00752C9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bố cơ sở đủ điều kiện điều trị nghiện các chất dạng thuốc phiện bằng thuốc thay thế</w:t>
      </w:r>
    </w:p>
    <w:p w:rsidR="00820036" w:rsidRDefault="00752C9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820036" w:rsidRDefault="00752C9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20036" w:rsidRDefault="00752C9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820036" w:rsidRDefault="00752C91">
      <w:pPr>
        <w:spacing w:after="0" w:line="276" w:lineRule="auto"/>
        <w:jc w:val="both"/>
      </w:pPr>
      <w:r>
        <w:rPr>
          <w:rFonts w:ascii="Times New Roman" w:eastAsia="Times New Roman" w:hAnsi="Times New Roman" w:cs="Times New Roman"/>
          <w:b/>
          <w:sz w:val="26"/>
        </w:rPr>
        <w:t xml:space="preserve">Trình tự thực hiện: </w:t>
      </w:r>
    </w:p>
    <w:p w:rsidR="00820036" w:rsidRDefault="00752C91">
      <w:pPr>
        <w:shd w:val="clear" w:color="auto" w:fill="F2F6F9"/>
        <w:spacing w:before="120" w:after="0" w:line="276" w:lineRule="auto"/>
        <w:jc w:val="both"/>
      </w:pPr>
      <w:r>
        <w:rPr>
          <w:rFonts w:ascii="Times New Roman" w:eastAsia="Times New Roman" w:hAnsi="Times New Roman" w:cs="Times New Roman"/>
          <w:b/>
          <w:sz w:val="26"/>
        </w:rPr>
        <w:t>Trường hợp 1:  Công bố lần đầu đối với cơ sở đủ điều kiện điều trị nghiện các chất dạng thuốc phiện bằng thuốc thay thế</w:t>
      </w:r>
    </w:p>
    <w:p w:rsidR="00820036" w:rsidRDefault="00752C91">
      <w:pPr>
        <w:spacing w:after="0" w:line="276" w:lineRule="auto"/>
        <w:jc w:val="both"/>
      </w:pPr>
      <w:r>
        <w:rPr>
          <w:rFonts w:ascii="Times New Roman" w:eastAsia="Times New Roman" w:hAnsi="Times New Roman" w:cs="Times New Roman"/>
          <w:sz w:val="26"/>
        </w:rPr>
        <w:t xml:space="preserve">Bước 1: Cơ sở điều trị thay thế và cơ sở cấp phát thuốc điều trị thay thế (sau đây gọi tắt </w:t>
      </w:r>
      <w:r>
        <w:rPr>
          <w:rFonts w:ascii="Times New Roman" w:eastAsia="Times New Roman" w:hAnsi="Times New Roman" w:cs="Times New Roman"/>
          <w:sz w:val="26"/>
        </w:rPr>
        <w:t>là cơ sở điều trị) nộp hồ sơ theo quy định tại Điều 19 Nghị định số 141/2024/NĐ-CP về Sở Y tế.  Bước 2: Sở Y tế tiếp nhận, kiểm tra hồ sơ.  Trường hợp hồ sơ hợp lệ, trong thời hạn 04</w:t>
      </w:r>
      <w:r>
        <w:rPr>
          <w:rFonts w:ascii="Times New Roman" w:eastAsia="Times New Roman" w:hAnsi="Times New Roman" w:cs="Times New Roman"/>
          <w:sz w:val="26"/>
        </w:rPr>
        <w:t xml:space="preserve"> ngày làm việc kể từ ngày tiếp nhận hồ sơ, Sở Y tế có trách nhiệm công kha</w:t>
      </w:r>
      <w:r>
        <w:rPr>
          <w:rFonts w:ascii="Times New Roman" w:eastAsia="Times New Roman" w:hAnsi="Times New Roman" w:cs="Times New Roman"/>
          <w:sz w:val="26"/>
        </w:rPr>
        <w:t>i trên Trang thông tin điện tử của Sở Y tế các thông tin sau: Tên, địa chỉ, số điện thoại liên hệ và toàn văn hồ sơ công bố của cơ sở điều trị. Trường hợp hồ sơ không hợp lệ, trong thời hạn 03 ngày làm việc kể từ ngày tiếp nhận hồ sơ, Sở Y tế có trách nhiệ</w:t>
      </w:r>
      <w:r>
        <w:rPr>
          <w:rFonts w:ascii="Times New Roman" w:eastAsia="Times New Roman" w:hAnsi="Times New Roman" w:cs="Times New Roman"/>
          <w:sz w:val="26"/>
        </w:rPr>
        <w:t>m thông báo cho cơ sở điều trị và hướng dẫn bổ sung hồ sơ.</w:t>
      </w:r>
    </w:p>
    <w:p w:rsidR="00820036" w:rsidRDefault="00752C91">
      <w:pPr>
        <w:shd w:val="clear" w:color="auto" w:fill="F2F6F9"/>
        <w:spacing w:before="120" w:after="0" w:line="276" w:lineRule="auto"/>
        <w:jc w:val="both"/>
      </w:pPr>
      <w:r>
        <w:rPr>
          <w:rFonts w:ascii="Times New Roman" w:eastAsia="Times New Roman" w:hAnsi="Times New Roman" w:cs="Times New Roman"/>
          <w:b/>
          <w:sz w:val="26"/>
        </w:rPr>
        <w:t>Trường hợp 2:  Điều chỉnh hồ sơ công bố đối với cơ sở đủ điều kiện điều trị nghiện các chất dạng thuốc phiện khi có thay đổi về tên, địa chỉ, cơ sở vật chất, thiết bị và nhân sự</w:t>
      </w:r>
    </w:p>
    <w:p w:rsidR="00820036" w:rsidRDefault="00752C91">
      <w:pPr>
        <w:spacing w:after="0" w:line="276" w:lineRule="auto"/>
        <w:jc w:val="both"/>
      </w:pPr>
      <w:r>
        <w:rPr>
          <w:rFonts w:ascii="Times New Roman" w:eastAsia="Times New Roman" w:hAnsi="Times New Roman" w:cs="Times New Roman"/>
          <w:sz w:val="26"/>
        </w:rPr>
        <w:t xml:space="preserve">Bước 1: Cơ sở điều </w:t>
      </w:r>
      <w:r>
        <w:rPr>
          <w:rFonts w:ascii="Times New Roman" w:eastAsia="Times New Roman" w:hAnsi="Times New Roman" w:cs="Times New Roman"/>
          <w:sz w:val="26"/>
        </w:rPr>
        <w:t>trị khi có thay đổi về tên, địa chỉ, cơ sở vật chất, thiết bị và nhân sự có trách nhiệm thông báo nội dung điều chỉnh về Sở Y tế. Bước 2: Trong thời hạn 04</w:t>
      </w:r>
      <w:r>
        <w:rPr>
          <w:rFonts w:ascii="Times New Roman" w:eastAsia="Times New Roman" w:hAnsi="Times New Roman" w:cs="Times New Roman"/>
          <w:sz w:val="26"/>
        </w:rPr>
        <w:t xml:space="preserve"> ngày làm việc, kể từ ngày nhận được thông báo nội dung điều chỉnh của cơ sở điều trị, Sở Y tế có trá</w:t>
      </w:r>
      <w:r>
        <w:rPr>
          <w:rFonts w:ascii="Times New Roman" w:eastAsia="Times New Roman" w:hAnsi="Times New Roman" w:cs="Times New Roman"/>
          <w:sz w:val="26"/>
        </w:rPr>
        <w:t>ch nhiệm cập nhật các thông tin thay đổi trong hồ sơ công bố của cơ sở điều trị đã đăng tải trên Trang thông tin điện tử của Sở Y tế.</w:t>
      </w:r>
    </w:p>
    <w:p w:rsidR="00820036" w:rsidRDefault="00752C91">
      <w:pPr>
        <w:shd w:val="clear" w:color="auto" w:fill="F2F6F9"/>
        <w:spacing w:before="120" w:after="0" w:line="276" w:lineRule="auto"/>
        <w:jc w:val="both"/>
      </w:pPr>
      <w:r>
        <w:rPr>
          <w:rFonts w:ascii="Times New Roman" w:eastAsia="Times New Roman" w:hAnsi="Times New Roman" w:cs="Times New Roman"/>
          <w:b/>
          <w:sz w:val="26"/>
        </w:rPr>
        <w:t>Trường hợp 3:  Công bố lại đối với cơ sở điều trị bị đình chỉ sau khi hết thời hạn bị đình chỉ</w:t>
      </w:r>
    </w:p>
    <w:p w:rsidR="00820036" w:rsidRDefault="00752C91">
      <w:pPr>
        <w:spacing w:after="0" w:line="276" w:lineRule="auto"/>
        <w:jc w:val="both"/>
      </w:pPr>
      <w:r>
        <w:rPr>
          <w:rFonts w:ascii="Times New Roman" w:eastAsia="Times New Roman" w:hAnsi="Times New Roman" w:cs="Times New Roman"/>
          <w:sz w:val="26"/>
        </w:rPr>
        <w:t>Bước 1: Trong thời hạn 05 n</w:t>
      </w:r>
      <w:r>
        <w:rPr>
          <w:rFonts w:ascii="Times New Roman" w:eastAsia="Times New Roman" w:hAnsi="Times New Roman" w:cs="Times New Roman"/>
          <w:sz w:val="26"/>
        </w:rPr>
        <w:t>gày làm việc, trước ngày hết thời hạn bị đình chỉ theo quyết định xử phạt vi phạm hành chính, cơ sở điều trị bị đình chỉ gửi hồ sơ khắc phục vi phạm về Sở Y tế. Bước 2: Trong thời hạn 04</w:t>
      </w:r>
      <w:r>
        <w:rPr>
          <w:rFonts w:ascii="Times New Roman" w:eastAsia="Times New Roman" w:hAnsi="Times New Roman" w:cs="Times New Roman"/>
          <w:sz w:val="26"/>
        </w:rPr>
        <w:t xml:space="preserve"> ngày làm việc, kể từ ngày tiếp nhận đủ hồ sơ khắc phục vi phạm của cơ</w:t>
      </w:r>
      <w:r>
        <w:rPr>
          <w:rFonts w:ascii="Times New Roman" w:eastAsia="Times New Roman" w:hAnsi="Times New Roman" w:cs="Times New Roman"/>
          <w:sz w:val="26"/>
        </w:rPr>
        <w:t xml:space="preserve"> sở điều trị bị đình chỉ, Sở Y tế có trách nhiệm xem xét hồ sơ khắc phục vi phạm: - Trường hợp hồ sơ đủ điều kiện, Sở Y tế có trách nhiệm thực hiện công bố lại cho cơ sở điều trị đủ điều kiện điều trị nghiện các chất dạng thuốc phiện bằng thuốc thay thế tr</w:t>
      </w:r>
      <w:r>
        <w:rPr>
          <w:rFonts w:ascii="Times New Roman" w:eastAsia="Times New Roman" w:hAnsi="Times New Roman" w:cs="Times New Roman"/>
          <w:sz w:val="26"/>
        </w:rPr>
        <w:t xml:space="preserve">ên Trang thông tin điện tử của Sở Y tế; - Trường hợp cơ sở điều trị bị đình chỉ không khắc phục các vi phạm hoặc việc khắc phục các vi phạm không đáp ứng các quy định, Sở Y tế </w:t>
      </w:r>
      <w:r>
        <w:rPr>
          <w:rFonts w:ascii="Times New Roman" w:eastAsia="Times New Roman" w:hAnsi="Times New Roman" w:cs="Times New Roman"/>
          <w:sz w:val="26"/>
        </w:rPr>
        <w:lastRenderedPageBreak/>
        <w:t>thực hiện việc hủy hồ sơ công bố của cơ sở điều trị bị đình chỉ trên trang thông</w:t>
      </w:r>
      <w:r>
        <w:rPr>
          <w:rFonts w:ascii="Times New Roman" w:eastAsia="Times New Roman" w:hAnsi="Times New Roman" w:cs="Times New Roman"/>
          <w:sz w:val="26"/>
        </w:rPr>
        <w:t xml:space="preserve"> tin điện tử của Sở Y tế.</w:t>
      </w:r>
    </w:p>
    <w:p w:rsidR="00820036" w:rsidRDefault="00752C9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5"/>
        <w:gridCol w:w="1827"/>
        <w:gridCol w:w="3112"/>
        <w:gridCol w:w="2667"/>
      </w:tblGrid>
      <w:tr w:rsidR="00820036">
        <w:tblPrEx>
          <w:tblCellMar>
            <w:top w:w="0" w:type="dxa"/>
            <w:bottom w:w="0" w:type="dxa"/>
          </w:tblCellMar>
        </w:tblPrEx>
        <w:tc>
          <w:tcPr>
            <w:tcW w:w="15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Hình thức nộp</w:t>
            </w:r>
          </w:p>
        </w:tc>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Phí, lệ phí</w:t>
            </w:r>
          </w:p>
        </w:tc>
        <w:tc>
          <w:tcPr>
            <w:tcW w:w="3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Mô tả</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Trực tiếp</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820036" w:rsidRDefault="00820036"/>
          <w:p w:rsidR="00820036" w:rsidRDefault="00820036">
            <w:pPr>
              <w:spacing w:after="0" w:line="276" w:lineRule="auto"/>
            </w:pPr>
          </w:p>
        </w:tc>
        <w:tc>
          <w:tcPr>
            <w:tcW w:w="0" w:type="auto"/>
          </w:tcPr>
          <w:p w:rsidR="00820036" w:rsidRDefault="00820036"/>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Trực tuyến</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820036" w:rsidRDefault="00820036"/>
          <w:p w:rsidR="00820036" w:rsidRDefault="00820036">
            <w:pPr>
              <w:spacing w:after="0" w:line="276" w:lineRule="auto"/>
            </w:pPr>
          </w:p>
        </w:tc>
        <w:tc>
          <w:tcPr>
            <w:tcW w:w="0" w:type="auto"/>
          </w:tcPr>
          <w:p w:rsidR="00820036" w:rsidRDefault="00820036"/>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Dịch vụ bưu chính</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4</w:t>
            </w:r>
            <w:bookmarkStart w:id="0" w:name="_GoBack"/>
            <w:bookmarkEnd w:id="0"/>
            <w:r>
              <w:rPr>
                <w:rFonts w:ascii="Times New Roman" w:eastAsia="Times New Roman" w:hAnsi="Times New Roman" w:cs="Times New Roman"/>
                <w:sz w:val="26"/>
              </w:rPr>
              <w:t xml:space="preserve"> Ngày làm việc</w:t>
            </w:r>
          </w:p>
        </w:tc>
        <w:tc>
          <w:tcPr>
            <w:tcW w:w="0" w:type="auto"/>
          </w:tcPr>
          <w:p w:rsidR="00820036" w:rsidRDefault="00820036"/>
          <w:p w:rsidR="00820036" w:rsidRDefault="00820036">
            <w:pPr>
              <w:spacing w:after="0" w:line="276" w:lineRule="auto"/>
            </w:pPr>
          </w:p>
        </w:tc>
        <w:tc>
          <w:tcPr>
            <w:tcW w:w="0" w:type="auto"/>
          </w:tcPr>
          <w:p w:rsidR="00820036" w:rsidRDefault="00820036"/>
        </w:tc>
      </w:tr>
    </w:tbl>
    <w:p w:rsidR="00820036" w:rsidRDefault="00752C91">
      <w:pPr>
        <w:spacing w:before="240" w:after="0" w:line="276" w:lineRule="auto"/>
        <w:jc w:val="both"/>
      </w:pPr>
      <w:r>
        <w:rPr>
          <w:rFonts w:ascii="Times New Roman" w:eastAsia="Times New Roman" w:hAnsi="Times New Roman" w:cs="Times New Roman"/>
          <w:b/>
          <w:sz w:val="26"/>
        </w:rPr>
        <w:t xml:space="preserve">Thành phần hồ sơ: </w:t>
      </w:r>
    </w:p>
    <w:p w:rsidR="00820036" w:rsidRDefault="00752C91">
      <w:pPr>
        <w:shd w:val="clear" w:color="auto" w:fill="F2F6F9"/>
        <w:spacing w:before="120" w:after="0" w:line="276" w:lineRule="auto"/>
        <w:jc w:val="both"/>
      </w:pPr>
      <w:r>
        <w:rPr>
          <w:rFonts w:ascii="Times New Roman" w:eastAsia="Times New Roman" w:hAnsi="Times New Roman" w:cs="Times New Roman"/>
          <w:b/>
          <w:sz w:val="26"/>
        </w:rPr>
        <w:t xml:space="preserve">Trường hợp 1: Công bố lần </w:t>
      </w:r>
      <w:r>
        <w:rPr>
          <w:rFonts w:ascii="Times New Roman" w:eastAsia="Times New Roman" w:hAnsi="Times New Roman" w:cs="Times New Roman"/>
          <w:b/>
          <w:sz w:val="26"/>
        </w:rPr>
        <w:t>đầu đối với cơ sở đủ điều kiện điều trị nghiện các chất dạng thuốc phiện bằng thuốc thay thế</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8"/>
        <w:gridCol w:w="1346"/>
        <w:gridCol w:w="917"/>
      </w:tblGrid>
      <w:tr w:rsidR="00820036">
        <w:tblPrEx>
          <w:tblCellMar>
            <w:top w:w="0" w:type="dxa"/>
            <w:bottom w:w="0" w:type="dxa"/>
          </w:tblCellMar>
        </w:tblPrEx>
        <w:tc>
          <w:tcPr>
            <w:tcW w:w="6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Tên giấy tờ</w:t>
            </w:r>
          </w:p>
        </w:tc>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Mẫu đơn, tờ khai</w:t>
            </w:r>
          </w:p>
        </w:tc>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Số lượng</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Đơn đề nghị công bố đủ điều kiện điều trị nghiện các chất dạng thuốc phiện bằng thuốc thay thế theo Mẫu số 06 quy định t</w:t>
            </w:r>
            <w:r>
              <w:rPr>
                <w:rFonts w:ascii="Times New Roman" w:eastAsia="Times New Roman" w:hAnsi="Times New Roman" w:cs="Times New Roman"/>
                <w:sz w:val="26"/>
              </w:rPr>
              <w:t>ại Phụ lục ban hành kèm theo Nghị định số 141/2024/NĐ-CP</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Mau6.docx</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 xml:space="preserve">Bản sao quyết định thành lập của cơ quan nhà nước có thẩm quyền hoặc bản sao giấy chứng nhận đầu tư hoặc bản sao giấy chứng nhận đăng ký doanh nghiệp hoặc tài </w:t>
            </w:r>
            <w:r>
              <w:rPr>
                <w:rFonts w:ascii="Times New Roman" w:eastAsia="Times New Roman" w:hAnsi="Times New Roman" w:cs="Times New Roman"/>
                <w:sz w:val="26"/>
              </w:rPr>
              <w:t xml:space="preserve">liệu tương đương khác của cơ sở hoặc Bản sao giấy phép hoạt động của cơ sở khám bệnh, chữa bệnh  trong trường hợp cơ sở khám bệnh, chữa bệnh tham gia điều trị nghiện các chất dạng thuốc phiện bằng thuốc thay thế  (không áp dụng đối với trường hợp các loại </w:t>
            </w:r>
            <w:r>
              <w:rPr>
                <w:rFonts w:ascii="Times New Roman" w:eastAsia="Times New Roman" w:hAnsi="Times New Roman" w:cs="Times New Roman"/>
                <w:sz w:val="26"/>
              </w:rPr>
              <w:t>giấy tờ trên đã được kết nối, chia sẻ trên Hệ thống thông tin về quản lý hoạt động khám bệnh, chữa bệnh hoặc cơ sở dữ liệu quốc gia);</w:t>
            </w:r>
          </w:p>
        </w:tc>
        <w:tc>
          <w:tcPr>
            <w:tcW w:w="0" w:type="auto"/>
          </w:tcPr>
          <w:p w:rsidR="00820036" w:rsidRDefault="00820036"/>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lastRenderedPageBreak/>
              <w:t>Bản kê khai nhân sự làm việc tại cơ sở điều trị theo Mẫu số 07 quy định tại Phụ lục ban hành k</w:t>
            </w:r>
            <w:r>
              <w:rPr>
                <w:rFonts w:ascii="Times New Roman" w:eastAsia="Times New Roman" w:hAnsi="Times New Roman" w:cs="Times New Roman"/>
                <w:sz w:val="26"/>
              </w:rPr>
              <w:t>èm theo Nghị định số 141/2024/NĐ-CP và bản sao văn bằng chuyên môn của từng nhân viên</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lastRenderedPageBreak/>
              <w:t>Mau7.docx</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Bản kê khai thiết bị của cơ sở điều trị theo Mẫu số 08 quy định tại Phụ lục ban hành kèm theo Nghị định số 141/2024/NĐ-CP</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Mau8.docx</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20036" w:rsidRDefault="00752C91">
      <w:pPr>
        <w:shd w:val="clear" w:color="auto" w:fill="F2F6F9"/>
        <w:spacing w:before="120" w:after="0" w:line="276" w:lineRule="auto"/>
        <w:jc w:val="both"/>
      </w:pPr>
      <w:r>
        <w:rPr>
          <w:rFonts w:ascii="Times New Roman" w:eastAsia="Times New Roman" w:hAnsi="Times New Roman" w:cs="Times New Roman"/>
          <w:b/>
          <w:sz w:val="26"/>
        </w:rPr>
        <w:t>Trường hợp 2: Điều chỉnh hồ sơ công bố đối với cơ sở đủ điều kiện điều trị nghiện các chất dạng thuốc phiện khi có thay đổi về tên, địa chỉ, cơ sở vật chất, thiết bị và nhân sự</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77"/>
        <w:gridCol w:w="1760"/>
        <w:gridCol w:w="1474"/>
      </w:tblGrid>
      <w:tr w:rsidR="00820036">
        <w:tblPrEx>
          <w:tblCellMar>
            <w:top w:w="0" w:type="dxa"/>
            <w:bottom w:w="0" w:type="dxa"/>
          </w:tblCellMar>
        </w:tblPrEx>
        <w:tc>
          <w:tcPr>
            <w:tcW w:w="6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Tên giấy tờ</w:t>
            </w:r>
          </w:p>
        </w:tc>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Mẫu đơn, tờ khai</w:t>
            </w:r>
          </w:p>
        </w:tc>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Số lượng</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 xml:space="preserve">Văn bản </w:t>
            </w:r>
            <w:r>
              <w:rPr>
                <w:rFonts w:ascii="Times New Roman" w:eastAsia="Times New Roman" w:hAnsi="Times New Roman" w:cs="Times New Roman"/>
                <w:sz w:val="26"/>
              </w:rPr>
              <w:t>thông báo về nội dung điều chỉnh của cơ sở điều trị.</w:t>
            </w:r>
          </w:p>
        </w:tc>
        <w:tc>
          <w:tcPr>
            <w:tcW w:w="0" w:type="auto"/>
          </w:tcPr>
          <w:p w:rsidR="00820036" w:rsidRDefault="00820036"/>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Hồ sơ thể hiện sự thay đổi về tên, địa chỉ, cơ sở vật chất, thiết bị và nhân sự của cơ sở điều trị.</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Mau7.8.docx</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20036" w:rsidRDefault="00752C91">
      <w:pPr>
        <w:shd w:val="clear" w:color="auto" w:fill="F2F6F9"/>
        <w:spacing w:before="120" w:after="0" w:line="276" w:lineRule="auto"/>
        <w:jc w:val="both"/>
      </w:pPr>
      <w:r>
        <w:rPr>
          <w:rFonts w:ascii="Times New Roman" w:eastAsia="Times New Roman" w:hAnsi="Times New Roman" w:cs="Times New Roman"/>
          <w:b/>
          <w:sz w:val="26"/>
        </w:rPr>
        <w:t xml:space="preserve">Trường hợp 3: Công bố lại đối với cơ sở điều trị bị đình chỉ sau khi hết thời hạn bị đình chỉ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2"/>
        <w:gridCol w:w="1895"/>
        <w:gridCol w:w="1904"/>
      </w:tblGrid>
      <w:tr w:rsidR="00820036">
        <w:tblPrEx>
          <w:tblCellMar>
            <w:top w:w="0" w:type="dxa"/>
            <w:bottom w:w="0" w:type="dxa"/>
          </w:tblCellMar>
        </w:tblPrEx>
        <w:tc>
          <w:tcPr>
            <w:tcW w:w="6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Tên giấy tờ</w:t>
            </w:r>
          </w:p>
        </w:tc>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Mẫu đơn, tờ khai</w:t>
            </w:r>
          </w:p>
        </w:tc>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Số lượng</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Hồ sơ khắc phục vi phạm của cơ sở điều trị bị đình chỉ.</w:t>
            </w:r>
          </w:p>
        </w:tc>
        <w:tc>
          <w:tcPr>
            <w:tcW w:w="0" w:type="auto"/>
          </w:tcPr>
          <w:p w:rsidR="00820036" w:rsidRDefault="00820036"/>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20036" w:rsidRDefault="00752C9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Doanh nghiệp, </w:t>
      </w:r>
      <w:r>
        <w:rPr>
          <w:rFonts w:ascii="Times New Roman" w:eastAsia="Times New Roman" w:hAnsi="Times New Roman" w:cs="Times New Roman"/>
          <w:sz w:val="26"/>
        </w:rPr>
        <w:t>Doanh nghiệp có vốn đầu tư nước ngoài, Tổ chức (không bao gồm doanh nghiệp, HTX), Tổ chức nước ngoài, Hợp tác xã</w:t>
      </w:r>
    </w:p>
    <w:p w:rsidR="00820036" w:rsidRDefault="00752C9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820036" w:rsidRDefault="00752C9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20036" w:rsidRDefault="00752C9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820036" w:rsidRDefault="00752C9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 xml:space="preserve">Không có </w:t>
      </w:r>
      <w:r>
        <w:rPr>
          <w:rFonts w:ascii="Times New Roman" w:eastAsia="Times New Roman" w:hAnsi="Times New Roman" w:cs="Times New Roman"/>
          <w:sz w:val="26"/>
        </w:rPr>
        <w:t>thông tin</w:t>
      </w:r>
    </w:p>
    <w:p w:rsidR="00820036" w:rsidRDefault="00752C9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20036" w:rsidRDefault="00752C91">
      <w:pPr>
        <w:spacing w:after="0" w:line="276" w:lineRule="auto"/>
        <w:jc w:val="both"/>
      </w:pPr>
      <w:r>
        <w:rPr>
          <w:rFonts w:ascii="Times New Roman" w:eastAsia="Times New Roman" w:hAnsi="Times New Roman" w:cs="Times New Roman"/>
          <w:b/>
          <w:sz w:val="26"/>
        </w:rPr>
        <w:lastRenderedPageBreak/>
        <w:t xml:space="preserve">Kết quả thực hiện: </w:t>
      </w:r>
      <w:r>
        <w:rPr>
          <w:rFonts w:ascii="Times New Roman" w:eastAsia="Times New Roman" w:hAnsi="Times New Roman" w:cs="Times New Roman"/>
          <w:sz w:val="26"/>
        </w:rPr>
        <w:t>Công bố thông tin trên trang thông tin điện tử</w:t>
      </w:r>
    </w:p>
    <w:p w:rsidR="00820036" w:rsidRDefault="00752C9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5"/>
        <w:gridCol w:w="5497"/>
        <w:gridCol w:w="845"/>
        <w:gridCol w:w="1374"/>
      </w:tblGrid>
      <w:tr w:rsidR="00820036">
        <w:tblPrEx>
          <w:tblCellMar>
            <w:top w:w="0" w:type="dxa"/>
            <w:bottom w:w="0" w:type="dxa"/>
          </w:tblCellMar>
        </w:tblPrEx>
        <w:tc>
          <w:tcPr>
            <w:tcW w:w="2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Số ký hiệu</w:t>
            </w:r>
          </w:p>
        </w:tc>
        <w:tc>
          <w:tcPr>
            <w:tcW w:w="35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Trích yếu</w:t>
            </w:r>
          </w:p>
        </w:tc>
        <w:tc>
          <w:tcPr>
            <w:tcW w:w="15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Ngày ban hành</w:t>
            </w:r>
          </w:p>
        </w:tc>
        <w:tc>
          <w:tcPr>
            <w:tcW w:w="3000" w:type="dxa"/>
          </w:tcPr>
          <w:p w:rsidR="00820036" w:rsidRDefault="00820036"/>
          <w:p w:rsidR="00820036" w:rsidRDefault="00752C91">
            <w:pPr>
              <w:spacing w:after="0" w:line="276" w:lineRule="auto"/>
              <w:jc w:val="center"/>
            </w:pPr>
            <w:r>
              <w:rPr>
                <w:rFonts w:ascii="Times New Roman" w:eastAsia="Times New Roman" w:hAnsi="Times New Roman" w:cs="Times New Roman"/>
                <w:b/>
                <w:sz w:val="26"/>
              </w:rPr>
              <w:t>Cơ quan ban hành</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71/2020/QH14</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 xml:space="preserve">Luật sửa đổi, bổ sung một số điều của Luật Phòng; </w:t>
            </w:r>
            <w:r>
              <w:rPr>
                <w:rFonts w:ascii="Times New Roman" w:eastAsia="Times New Roman" w:hAnsi="Times New Roman" w:cs="Times New Roman"/>
                <w:sz w:val="26"/>
              </w:rPr>
              <w:t>chống nhiễm vi rút gây ra hội chứng suy giảm miễn dịch mắc phải ở người (HIV/AIDS) ngày 16/11/2020</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16-11-2020</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Ủy ban thường vụ quốc hội</w:t>
            </w:r>
          </w:p>
        </w:tc>
      </w:tr>
      <w:tr w:rsidR="00820036">
        <w:tblPrEx>
          <w:tblCellMar>
            <w:top w:w="0" w:type="dxa"/>
            <w:bottom w:w="0" w:type="dxa"/>
          </w:tblCellMar>
        </w:tblPrEx>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141/2024/NĐ-CP</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Nghị định quy định chi tiết một số điều của Luật Phòng, chống nhiễm vi rút gây ra hội chứng suy giảm</w:t>
            </w:r>
            <w:r>
              <w:rPr>
                <w:rFonts w:ascii="Times New Roman" w:eastAsia="Times New Roman" w:hAnsi="Times New Roman" w:cs="Times New Roman"/>
                <w:sz w:val="26"/>
              </w:rPr>
              <w:t xml:space="preserve"> miễn dịch mắc phải ở người (HIV/AIDS).</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28-10-2024</w:t>
            </w:r>
          </w:p>
        </w:tc>
        <w:tc>
          <w:tcPr>
            <w:tcW w:w="0" w:type="auto"/>
          </w:tcPr>
          <w:p w:rsidR="00820036" w:rsidRDefault="00820036"/>
          <w:p w:rsidR="00820036" w:rsidRDefault="00752C91">
            <w:pPr>
              <w:spacing w:after="0" w:line="276" w:lineRule="auto"/>
            </w:pPr>
            <w:r>
              <w:rPr>
                <w:rFonts w:ascii="Times New Roman" w:eastAsia="Times New Roman" w:hAnsi="Times New Roman" w:cs="Times New Roman"/>
                <w:sz w:val="26"/>
              </w:rPr>
              <w:t>Chính phủ</w:t>
            </w:r>
          </w:p>
        </w:tc>
      </w:tr>
    </w:tbl>
    <w:p w:rsidR="00820036" w:rsidRDefault="00752C9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Trường hợp 1: Công bố lần đầu đối với cơ sở đủ điều kiện điều trị nghiện các chất dạng thuốc phiện bằng thuốc thay thế Cơ sở đề nghị công bố đủ điều kiện điều trị</w:t>
      </w:r>
      <w:r>
        <w:rPr>
          <w:rFonts w:ascii="Times New Roman" w:eastAsia="Times New Roman" w:hAnsi="Times New Roman" w:cs="Times New Roman"/>
          <w:sz w:val="26"/>
        </w:rPr>
        <w:t xml:space="preserve"> nghiện các chất dạng thuốc phiện bằng thuốc thay thế cần đáp ứng các điều kiện theo quy định tại Điều 16 hoặc Điều 17 hoặc Điều 18 Nghị định số 141/2024/NĐ-CP, cụ thể như sau: “Điều 16. Điều kiện hoạt động của cơ sở điều trị thay thế 1. Cơ sở vật </w:t>
      </w:r>
      <w:r>
        <w:rPr>
          <w:rFonts w:ascii="Times New Roman" w:eastAsia="Times New Roman" w:hAnsi="Times New Roman" w:cs="Times New Roman"/>
          <w:sz w:val="26"/>
        </w:rPr>
        <w:t xml:space="preserve">chất: Có nơi tiếp đón; phòng hành chính; phòng cấp phát, chia liều thuốc (nếu có) và bảo quản thuốc; phòng tư vấn; phòng khám bệnh và phòng xét nghiệm. Các phòng trong cơ sở điều trị thay thế phải có diện tích tối thiểu 10m2 để đảm bảo thực hiện các nhiệm </w:t>
      </w:r>
      <w:r>
        <w:rPr>
          <w:rFonts w:ascii="Times New Roman" w:eastAsia="Times New Roman" w:hAnsi="Times New Roman" w:cs="Times New Roman"/>
          <w:sz w:val="26"/>
        </w:rPr>
        <w:t>vụ chuyên môn theo quy định. 2. Thiết bị y tế:  a) Phòng khám bệnh: có hộp thuốc cấp cứu phản vệ trong đó có thuốc giải độc; b) Phòng cấp phát, chia liều thuốc (nếu có) và bảo quản thuốc: có 02 tủ có khóa chắc chắn để đựng thuốc, trong đó: 01 tủ để đựng th</w:t>
      </w:r>
      <w:r>
        <w:rPr>
          <w:rFonts w:ascii="Times New Roman" w:eastAsia="Times New Roman" w:hAnsi="Times New Roman" w:cs="Times New Roman"/>
          <w:sz w:val="26"/>
        </w:rPr>
        <w:t xml:space="preserve">uốc cấp phát hàng ngày và 01 tủ để bảo quản thuốc; có dụng cụ cấp phát thuốc; có dụng cụ chia liều thuốc (nếu có) và có thiết bị giám sát việc thực hiện điều trị; c) Phòng xét nghiệm: bố trí nơi lấy nước tiểu có bộ bàn cầu (với đường cấp nước có van đặt ở </w:t>
      </w:r>
      <w:r>
        <w:rPr>
          <w:rFonts w:ascii="Times New Roman" w:eastAsia="Times New Roman" w:hAnsi="Times New Roman" w:cs="Times New Roman"/>
          <w:sz w:val="26"/>
        </w:rPr>
        <w:t>bên ngoài nơi lấy nước tiểu) và vách ngăn dán kính màu một chiều từ bên ngoài để nhân viên của cơ sở điều trị quan sát được quá trình tự lấy mẫu nước tiểu của người tham gia điều trị nghiện các chất dạng thuốc phiện bằng thuốc thay thế. 3. Nhân sự: a) Đảm</w:t>
      </w:r>
      <w:r>
        <w:rPr>
          <w:rFonts w:ascii="Times New Roman" w:eastAsia="Times New Roman" w:hAnsi="Times New Roman" w:cs="Times New Roman"/>
          <w:sz w:val="26"/>
        </w:rPr>
        <w:t xml:space="preserve"> bảo đủ nhân sự thực hiện nhiệm vụ chuyên môn về: khám bệnh, chữa bệnh; hỗ trợ công tác khám bệnh, chữa bệnh; cấp phát, chia liều thuốc; phụ trách kho thuốc; xét nghiệm; tư vấn và hành chính; b) Người phụ trách chuyên môn là bác sỹ có giấy chứng nhận hoàn </w:t>
      </w:r>
      <w:r>
        <w:rPr>
          <w:rFonts w:ascii="Times New Roman" w:eastAsia="Times New Roman" w:hAnsi="Times New Roman" w:cs="Times New Roman"/>
          <w:sz w:val="26"/>
        </w:rPr>
        <w:t xml:space="preserve">thành tập huấn về điều trị nghiện các chất dạng thuốc phiện bằng thuốc thay thế; c) Nhân viên phụ trách kho thuốc phải đáp ứng các điều kiện về chuyên môn theo quy định của pháp luật về </w:t>
      </w:r>
      <w:r>
        <w:rPr>
          <w:rFonts w:ascii="Times New Roman" w:eastAsia="Times New Roman" w:hAnsi="Times New Roman" w:cs="Times New Roman"/>
          <w:sz w:val="26"/>
        </w:rPr>
        <w:lastRenderedPageBreak/>
        <w:t>dược; d) Căn cứ tình hình thực tế, cơ sở điều trị thay thế bố trí nhân</w:t>
      </w:r>
      <w:r>
        <w:rPr>
          <w:rFonts w:ascii="Times New Roman" w:eastAsia="Times New Roman" w:hAnsi="Times New Roman" w:cs="Times New Roman"/>
          <w:sz w:val="26"/>
        </w:rPr>
        <w:t xml:space="preserve"> viên bảo vệ hoặc phối hợp với công an cấp xã nơi cơ sở điều trị đặt trụ sở để bảo đảm công tác an ninh cho cơ sở điều trị. Điều 17. Điều kiện hoạt động của cơ sở cấp phát thuốc điều trị thay thế 1. Cơ sở vật chất: có nơi tiếp đón; phòng cấp phát, chia liề</w:t>
      </w:r>
      <w:r>
        <w:rPr>
          <w:rFonts w:ascii="Times New Roman" w:eastAsia="Times New Roman" w:hAnsi="Times New Roman" w:cs="Times New Roman"/>
          <w:sz w:val="26"/>
        </w:rPr>
        <w:t xml:space="preserve">u thuốc (nếu có) và bảo quản thuốc điều trị thay thế.  2. Thiết bị y tế:  Phòng cấp phát, chia liều thuốc (nếu có) và bảo quản thuốc: có 02 tủ có khóa chắc chắn để đựng thuốc, trong đó: 01 tủ để đựng thuốc cấp phát hàng ngày và 01 tủ để bảo quản thuốc; có </w:t>
      </w:r>
      <w:r>
        <w:rPr>
          <w:rFonts w:ascii="Times New Roman" w:eastAsia="Times New Roman" w:hAnsi="Times New Roman" w:cs="Times New Roman"/>
          <w:sz w:val="26"/>
        </w:rPr>
        <w:t>dụng cụ cấp phát thuốc; có dụng cụ chia liều thuốc (nếu có) và có thiết bị giám sát việc thực hiện điều trị; 3. Đảm bảo nhân sự thực hiện nhiệm vụ chuyên môn về: cấp phát, chia liều thuốc; phụ trách kho thuốc và hành chính. 4. Nhân viên phụ trách kho thuốc</w:t>
      </w:r>
      <w:r>
        <w:rPr>
          <w:rFonts w:ascii="Times New Roman" w:eastAsia="Times New Roman" w:hAnsi="Times New Roman" w:cs="Times New Roman"/>
          <w:sz w:val="26"/>
        </w:rPr>
        <w:t xml:space="preserve"> phải đáp ứng các điều kiện về chuyên môn theo quy định của pháp luật về dược.  Điều 18. Điều kiện hoạt động của cơ sở khám bệnh, chữa bệnh tham gia điều trị nghiện các chất dạng thuốc phiện bằng thuốc thay thế Cơ sở khám bệnh, chữa bệnh đã có giấy phép ho</w:t>
      </w:r>
      <w:r>
        <w:rPr>
          <w:rFonts w:ascii="Times New Roman" w:eastAsia="Times New Roman" w:hAnsi="Times New Roman" w:cs="Times New Roman"/>
          <w:sz w:val="26"/>
        </w:rPr>
        <w:t>ạt động theo quy định của pháp luật về khám bệnh, chữa bệnh, khi triển khai điều trị nghiện các chất dạng thuốc phiện bằng thuốc thay thế cần đáp ứng các điều kiện theo quy định tại Điều 16 hoặc Điều 17 Nghị định số 141/2024/NĐ-CP.” *) Trường hợp 2: Điều c</w:t>
      </w:r>
      <w:r>
        <w:rPr>
          <w:rFonts w:ascii="Times New Roman" w:eastAsia="Times New Roman" w:hAnsi="Times New Roman" w:cs="Times New Roman"/>
          <w:sz w:val="26"/>
        </w:rPr>
        <w:t>hỉnh hồ sơ công bố đối với cơ sở đủ điều kiện điều trị nghiện các chất dạng thuốc phiện khi có thay đổi về tên, địa chỉ, cơ sở vật chất, thiết bị và nhân sự Cơ sở điều trị đề nghị điều chỉnh hồ sơ công bố khi có thay đổi về tên, địa chỉ, cơ sở vật chất, th</w:t>
      </w:r>
      <w:r>
        <w:rPr>
          <w:rFonts w:ascii="Times New Roman" w:eastAsia="Times New Roman" w:hAnsi="Times New Roman" w:cs="Times New Roman"/>
          <w:sz w:val="26"/>
        </w:rPr>
        <w:t>iết bị và nhân sự có trách nhiệm thông báo nội dung điều chỉnh về Sở Y tế kèm theo hồ sơ thể hiện sự thay đổi.  *) Trường hợp 3: Công bố lại đối với cơ sở điều trị bị đình chỉ sau khi hết thời hạn bị đình chỉ  Cơ sở điều trị bị đình chỉ sau khi hết thời hạ</w:t>
      </w:r>
      <w:r>
        <w:rPr>
          <w:rFonts w:ascii="Times New Roman" w:eastAsia="Times New Roman" w:hAnsi="Times New Roman" w:cs="Times New Roman"/>
          <w:sz w:val="26"/>
        </w:rPr>
        <w:t>n bị đình chỉ theo quyết định xử phạt vi phạm hành chính phải gửi hồ sơ khắc phục vi phạm về Sở Y tế.</w:t>
      </w:r>
    </w:p>
    <w:p w:rsidR="00820036" w:rsidRDefault="00752C9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820036" w:rsidRDefault="00752C9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2003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36"/>
    <w:rsid w:val="00752C91"/>
    <w:rsid w:val="0082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8428"/>
  <w15:docId w15:val="{63F830F4-E5A8-4CB7-AE81-BD022421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E2533B18-142C-44B8-A79A-6D645B4CF7FD}"/>
</file>

<file path=customXml/itemProps2.xml><?xml version="1.0" encoding="utf-8"?>
<ds:datastoreItem xmlns:ds="http://schemas.openxmlformats.org/officeDocument/2006/customXml" ds:itemID="{6C572E50-6409-48F7-98EA-AFD0DECB9267}"/>
</file>

<file path=customXml/itemProps3.xml><?xml version="1.0" encoding="utf-8"?>
<ds:datastoreItem xmlns:ds="http://schemas.openxmlformats.org/officeDocument/2006/customXml" ds:itemID="{2D728EDE-87EF-4F7D-B0C5-E719168D754D}"/>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2024-12-17T08:39:00Z</dcterms:created>
  <dcterms:modified xsi:type="dcterms:W3CDTF">2024-12-17T08:39:00Z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